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Cambria" w:cs="Cambria" w:hAnsi="Cambria" w:eastAsia="Cambria"/>
          <w:b w:val="1"/>
          <w:bCs w:val="1"/>
        </w:rPr>
      </w:pPr>
      <w:bookmarkStart w:name="_top" w:id="0"/>
      <w:bookmarkEnd w:id="0"/>
      <w:r>
        <w:rPr>
          <w:rFonts w:ascii="Cambria" w:cs="Cambria" w:hAnsi="Cambria" w:eastAsia="Cambria"/>
          <w:b w:val="1"/>
          <w:bCs w:val="1"/>
          <w:rtl w:val="0"/>
          <w:lang w:val="en-US"/>
        </w:rPr>
        <w:t>T</w:t>
      </w:r>
      <w:r>
        <w:rPr>
          <w:rFonts w:ascii="Cambria" w:cs="Cambria" w:hAnsi="Cambria" w:eastAsia="Cambria"/>
          <w:b w:val="1"/>
          <w:bCs w:val="1"/>
          <w:rtl w:val="0"/>
          <w:lang w:val="en-US"/>
        </w:rPr>
        <w:t>he University of North Carolina at Pembroke</w:t>
      </w:r>
    </w:p>
    <w:p>
      <w:pPr>
        <w:pStyle w:val="Body A"/>
        <w:jc w:val="center"/>
        <w:rPr>
          <w:rFonts w:ascii="Cambria" w:cs="Cambria" w:hAnsi="Cambria" w:eastAsia="Cambria"/>
          <w:b w:val="1"/>
          <w:bCs w:val="1"/>
        </w:rPr>
      </w:pPr>
      <w:r>
        <w:rPr>
          <w:rFonts w:ascii="Cambria" w:cs="Cambria" w:hAnsi="Cambria" w:eastAsia="Cambria"/>
          <w:b w:val="1"/>
          <w:bCs w:val="1"/>
          <w:rtl w:val="0"/>
          <w:lang w:val="en-US"/>
        </w:rPr>
        <w:t xml:space="preserve">Academic Information Technology Committee </w:t>
      </w:r>
      <w:r>
        <w:rPr>
          <w:rtl w:val="0"/>
          <w:lang w:val="en-US"/>
        </w:rPr>
        <w:t>(AITC)</w:t>
      </w:r>
    </w:p>
    <w:p>
      <w:pPr>
        <w:pStyle w:val="Body A"/>
        <w:jc w:val="center"/>
      </w:pPr>
      <w:r>
        <w:rPr>
          <w:rFonts w:ascii="Cambria" w:cs="Cambria" w:hAnsi="Cambria" w:eastAsia="Cambria"/>
          <w:b w:val="1"/>
          <w:bCs w:val="1"/>
          <w:rtl w:val="0"/>
          <w:lang w:val="en-US"/>
        </w:rPr>
        <w:t xml:space="preserve">Agenda - </w:t>
      </w:r>
      <w:r>
        <w:rPr>
          <w:rtl w:val="0"/>
          <w:lang w:val="en-US"/>
        </w:rPr>
        <w:t xml:space="preserve">Monday, </w:t>
      </w:r>
      <w:r>
        <w:rPr>
          <w:rtl w:val="0"/>
          <w:lang w:val="en-US"/>
        </w:rPr>
        <w:t>October 8,</w:t>
      </w:r>
      <w:r>
        <w:rPr>
          <w:rtl w:val="0"/>
          <w:lang w:val="en-US"/>
        </w:rPr>
        <w:t xml:space="preserve"> 2018 at 3:30 p.m.</w:t>
      </w:r>
    </w:p>
    <w:p>
      <w:pPr>
        <w:pStyle w:val="Body A"/>
        <w:jc w:val="center"/>
      </w:pPr>
      <w:r>
        <w:rPr>
          <w:rtl w:val="0"/>
          <w:lang w:val="en-US"/>
        </w:rPr>
        <w:t>Chavis University Center 208</w:t>
      </w:r>
    </w:p>
    <w:p>
      <w:pPr>
        <w:pStyle w:val="Body A"/>
        <w:rPr>
          <w:rFonts w:ascii="Times New Roman" w:cs="Times New Roman" w:hAnsi="Times New Roman" w:eastAsia="Times New Roman"/>
        </w:rPr>
      </w:pPr>
    </w:p>
    <w:p>
      <w:pPr>
        <w:pStyle w:val="Body A"/>
        <w:rPr>
          <w:lang w:val="nl-NL"/>
        </w:rPr>
      </w:pPr>
    </w:p>
    <w:p>
      <w:pPr>
        <w:pStyle w:val="Body A"/>
        <w:rPr>
          <w:rFonts w:ascii="Cambria" w:cs="Cambria" w:hAnsi="Cambria" w:eastAsia="Cambria"/>
          <w:b w:val="1"/>
          <w:bCs w:val="1"/>
        </w:rPr>
      </w:pPr>
      <w:r>
        <w:rPr>
          <w:rFonts w:ascii="Cambria" w:cs="Cambria" w:hAnsi="Cambria" w:eastAsia="Cambria"/>
          <w:b w:val="1"/>
          <w:bCs w:val="1"/>
          <w:rtl w:val="0"/>
          <w:lang w:val="en-US"/>
        </w:rPr>
        <w:t>Members of the AITC:</w:t>
      </w:r>
    </w:p>
    <w:p>
      <w:pPr>
        <w:pStyle w:val="Body A"/>
        <w:rPr>
          <w:lang w:val="nl-NL"/>
        </w:rPr>
      </w:pPr>
      <w:r>
        <w:rPr>
          <w:rtl w:val="0"/>
          <w:lang w:val="nl-NL"/>
        </w:rPr>
        <w:t>Aaron Vandermeer (Chair), Senator</w:t>
      </w:r>
    </w:p>
    <w:p>
      <w:pPr>
        <w:pStyle w:val="Body A"/>
        <w:rPr>
          <w:lang w:val="nl-NL"/>
        </w:rPr>
      </w:pPr>
      <w:r>
        <w:rPr>
          <w:rtl w:val="0"/>
          <w:lang w:val="nl-NL"/>
        </w:rPr>
        <w:t>Conner Sandefur, Senator</w:t>
      </w:r>
    </w:p>
    <w:p>
      <w:pPr>
        <w:pStyle w:val="Body A"/>
        <w:rPr>
          <w:lang w:val="nl-NL"/>
        </w:rPr>
      </w:pPr>
      <w:r>
        <w:rPr>
          <w:rtl w:val="0"/>
          <w:lang w:val="nl-NL"/>
        </w:rPr>
        <w:t>Larry Arnold (ARTS, 2020)</w:t>
      </w:r>
    </w:p>
    <w:p>
      <w:pPr>
        <w:pStyle w:val="Body A"/>
        <w:rPr>
          <w:lang w:val="nl-NL"/>
        </w:rPr>
      </w:pPr>
      <w:r>
        <w:rPr>
          <w:rtl w:val="0"/>
          <w:lang w:val="nl-NL"/>
        </w:rPr>
        <w:t>Lisa Mitchell (EDUC, 2020)</w:t>
      </w:r>
    </w:p>
    <w:p>
      <w:pPr>
        <w:pStyle w:val="Body A"/>
        <w:rPr>
          <w:lang w:val="nl-NL"/>
        </w:rPr>
      </w:pPr>
      <w:r>
        <w:rPr>
          <w:rtl w:val="0"/>
          <w:lang w:val="nl-NL"/>
        </w:rPr>
        <w:t>Walter Lewallen (LETT, 2019)</w:t>
      </w:r>
    </w:p>
    <w:p>
      <w:pPr>
        <w:pStyle w:val="Body A"/>
        <w:rPr>
          <w:lang w:val="nl-NL"/>
        </w:rPr>
      </w:pPr>
      <w:r>
        <w:rPr>
          <w:rtl w:val="0"/>
          <w:lang w:val="nl-NL"/>
        </w:rPr>
        <w:t>Jesse Rouse (NSM, 2019)</w:t>
      </w:r>
    </w:p>
    <w:p>
      <w:pPr>
        <w:pStyle w:val="Body A"/>
        <w:rPr>
          <w:lang w:val="nl-NL"/>
        </w:rPr>
      </w:pPr>
      <w:r>
        <w:rPr>
          <w:rtl w:val="0"/>
          <w:lang w:val="nl-NL"/>
        </w:rPr>
        <w:t>Mohammad Rahman (SBS, 2020)</w:t>
      </w:r>
    </w:p>
    <w:p>
      <w:pPr>
        <w:pStyle w:val="Body A"/>
      </w:pPr>
      <w:r>
        <w:rPr>
          <w:rtl w:val="0"/>
          <w:lang w:val="nl-NL"/>
        </w:rPr>
        <w:t>Nancy Crouch, CIO</w:t>
      </w:r>
      <w:r>
        <w:rPr>
          <w:rFonts w:ascii="Arial Unicode MS" w:cs="Arial Unicode MS" w:hAnsi="Arial Unicode MS" w:eastAsia="Arial Unicode MS"/>
          <w:lang w:val="nl-NL"/>
        </w:rPr>
        <w:br w:type="textWrapping"/>
      </w:r>
      <w:r>
        <w:rPr>
          <w:rtl w:val="0"/>
          <w:lang w:val="en-US"/>
        </w:rPr>
        <w:t>Joy Fuqua, Director of Online Learning</w:t>
      </w:r>
    </w:p>
    <w:p>
      <w:pPr>
        <w:pStyle w:val="Body A"/>
        <w:rPr>
          <w:lang w:val="nl-NL"/>
        </w:rPr>
      </w:pPr>
      <w:r>
        <w:rPr>
          <w:rtl w:val="0"/>
          <w:lang w:val="nl-NL"/>
        </w:rPr>
        <w:t>Terry Locklear, Instructional Designer</w:t>
      </w:r>
      <w:r>
        <w:rPr>
          <w:rFonts w:ascii="Arial Unicode MS" w:cs="Arial Unicode MS" w:hAnsi="Arial Unicode MS" w:eastAsia="Arial Unicode MS"/>
          <w:lang w:val="nl-NL"/>
        </w:rPr>
        <w:br w:type="textWrapping"/>
      </w:r>
      <w:r>
        <w:rPr>
          <w:rtl w:val="0"/>
          <w:lang w:val="nl-NL"/>
        </w:rPr>
        <w:t>Debbie Bullard, Representative of the Accessibility Resource Center</w:t>
      </w:r>
    </w:p>
    <w:p>
      <w:pPr>
        <w:pStyle w:val="Body A"/>
        <w:rPr>
          <w:lang w:val="nl-NL"/>
        </w:rPr>
      </w:pPr>
      <w:r>
        <w:rPr>
          <w:rtl w:val="0"/>
          <w:lang w:val="nl-NL"/>
        </w:rPr>
        <w:t>Dennis Swanson, Representative of the Library</w:t>
      </w:r>
      <w:r>
        <w:rPr>
          <w:rFonts w:ascii="Arial Unicode MS" w:cs="Arial Unicode MS" w:hAnsi="Arial Unicode MS" w:eastAsia="Arial Unicode MS"/>
          <w:lang w:val="nl-NL"/>
        </w:rPr>
        <w:br w:type="textWrapping"/>
      </w:r>
      <w:r>
        <w:rPr>
          <w:rtl w:val="0"/>
          <w:lang w:val="nl-NL"/>
        </w:rPr>
        <w:t>[vacant], SGA Senator</w:t>
      </w:r>
    </w:p>
    <w:p>
      <w:pPr>
        <w:pStyle w:val="Body A"/>
        <w:rPr>
          <w:lang w:val="nl-NL"/>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Order of Business</w:t>
      </w:r>
    </w:p>
    <w:p>
      <w:pPr>
        <w:pStyle w:val="Body A"/>
        <w:rPr>
          <w:rFonts w:ascii="Times New Roman" w:cs="Times New Roman" w:hAnsi="Times New Roman" w:eastAsia="Times New Roman"/>
        </w:rPr>
      </w:pPr>
    </w:p>
    <w:p>
      <w:pPr>
        <w:pStyle w:val="Body A"/>
        <w:tabs>
          <w:tab w:val="left" w:pos="360"/>
          <w:tab w:val="left" w:pos="900"/>
        </w:tabs>
        <w:rPr>
          <w:rFonts w:ascii="Cambria" w:cs="Cambria" w:hAnsi="Cambria" w:eastAsia="Cambria"/>
          <w:b w:val="1"/>
          <w:bCs w:val="1"/>
        </w:rPr>
      </w:pPr>
      <w:r>
        <w:rPr>
          <w:rFonts w:ascii="Cambria" w:cs="Cambria" w:hAnsi="Cambria" w:eastAsia="Cambria"/>
          <w:b w:val="1"/>
          <w:bCs w:val="1"/>
          <w:rtl w:val="0"/>
          <w:lang w:val="en-US"/>
        </w:rPr>
        <w:t>A.</w:t>
        <w:tab/>
        <w:t>Roll Call</w:t>
      </w:r>
    </w:p>
    <w:p>
      <w:pPr>
        <w:pStyle w:val="Body A"/>
        <w:tabs>
          <w:tab w:val="left" w:pos="360"/>
          <w:tab w:val="left" w:pos="900"/>
        </w:tabs>
        <w:rPr>
          <w:rFonts w:ascii="Cambria" w:cs="Cambria" w:hAnsi="Cambria" w:eastAsia="Cambria"/>
          <w:b w:val="1"/>
          <w:bCs w:val="1"/>
        </w:rPr>
      </w:pPr>
      <w:r>
        <w:rPr>
          <w:rFonts w:ascii="Cambria" w:cs="Cambria" w:hAnsi="Cambria" w:eastAsia="Cambria"/>
          <w:b w:val="1"/>
          <w:bCs w:val="1"/>
          <w:rtl w:val="0"/>
          <w:lang w:val="en-US"/>
        </w:rPr>
        <w:t>B.</w:t>
        <w:tab/>
      </w:r>
      <w:bookmarkStart w:name="AgendaC" w:id="1"/>
      <w:bookmarkEnd w:id="1"/>
      <w:r>
        <w:rPr>
          <w:rFonts w:ascii="Cambria" w:cs="Cambria" w:hAnsi="Cambria" w:eastAsia="Cambria"/>
          <w:b w:val="1"/>
          <w:bCs w:val="1"/>
          <w:rtl w:val="0"/>
          <w:lang w:val="en-US"/>
        </w:rPr>
        <w:t>A</w:t>
      </w:r>
      <w:r>
        <w:rPr>
          <w:rFonts w:ascii="Cambria" w:cs="Cambria" w:hAnsi="Cambria" w:eastAsia="Cambria"/>
          <w:b w:val="1"/>
          <w:bCs w:val="1"/>
          <w:rtl w:val="0"/>
          <w:lang w:val="en-US"/>
        </w:rPr>
        <w:t>doption of Agenda</w:t>
      </w:r>
    </w:p>
    <w:p>
      <w:pPr>
        <w:pStyle w:val="Body A"/>
        <w:tabs>
          <w:tab w:val="left" w:pos="360"/>
          <w:tab w:val="left" w:pos="900"/>
        </w:tabs>
        <w:rPr>
          <w:rFonts w:ascii="Cambria" w:cs="Cambria" w:hAnsi="Cambria" w:eastAsia="Cambria"/>
          <w:b w:val="1"/>
          <w:bCs w:val="1"/>
        </w:rPr>
      </w:pPr>
      <w:r>
        <w:rPr>
          <w:rFonts w:ascii="Cambria" w:cs="Cambria" w:hAnsi="Cambria" w:eastAsia="Cambria"/>
          <w:b w:val="1"/>
          <w:bCs w:val="1"/>
          <w:rtl w:val="0"/>
          <w:lang w:val="en-US"/>
        </w:rPr>
        <w:t>C.</w:t>
        <w:tab/>
        <w:t>Review of Committee Charge</w:t>
      </w:r>
    </w:p>
    <w:p>
      <w:pPr>
        <w:pStyle w:val="Body A"/>
        <w:tabs>
          <w:tab w:val="left" w:pos="360"/>
          <w:tab w:val="left" w:pos="900"/>
        </w:tabs>
        <w:ind w:left="360" w:firstLine="0"/>
        <w:rPr>
          <w:rFonts w:ascii="Cambria" w:cs="Cambria" w:hAnsi="Cambria" w:eastAsia="Cambria"/>
          <w:b w:val="1"/>
          <w:bCs w:val="1"/>
        </w:rPr>
      </w:pPr>
      <w:r>
        <w:rPr>
          <w:rtl w:val="0"/>
          <w:lang w:val="en-US"/>
        </w:rPr>
        <w:t>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or implemented by DoIT.</w:t>
      </w:r>
    </w:p>
    <w:p>
      <w:pPr>
        <w:pStyle w:val="Body A"/>
        <w:tabs>
          <w:tab w:val="left" w:pos="360"/>
          <w:tab w:val="left" w:pos="900"/>
        </w:tabs>
        <w:rPr>
          <w:rFonts w:ascii="Cambria" w:cs="Cambria" w:hAnsi="Cambria" w:eastAsia="Cambria"/>
          <w:b w:val="1"/>
          <w:bCs w:val="1"/>
        </w:rPr>
      </w:pPr>
      <w:r>
        <w:rPr>
          <w:rFonts w:ascii="Cambria" w:cs="Cambria" w:hAnsi="Cambria" w:eastAsia="Cambria"/>
          <w:b w:val="1"/>
          <w:bCs w:val="1"/>
          <w:rtl w:val="0"/>
          <w:lang w:val="en-US"/>
        </w:rPr>
        <w:t xml:space="preserve">D. </w:t>
        <w:tab/>
        <w:t>Election of Secretary</w:t>
      </w:r>
    </w:p>
    <w:p>
      <w:pPr>
        <w:pStyle w:val="Body A"/>
        <w:tabs>
          <w:tab w:val="left" w:pos="360"/>
          <w:tab w:val="left" w:pos="900"/>
        </w:tabs>
        <w:rPr>
          <w:rFonts w:ascii="Cambria" w:cs="Cambria" w:hAnsi="Cambria" w:eastAsia="Cambria"/>
          <w:b w:val="1"/>
          <w:bCs w:val="1"/>
        </w:rPr>
      </w:pPr>
      <w:r>
        <w:rPr>
          <w:rFonts w:ascii="Cambria" w:cs="Cambria" w:hAnsi="Cambria" w:eastAsia="Cambria"/>
          <w:b w:val="1"/>
          <w:bCs w:val="1"/>
          <w:rtl w:val="0"/>
          <w:lang w:val="en-US"/>
        </w:rPr>
        <w:t>E.</w:t>
        <w:tab/>
        <w:t>Reports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AITC Chair</w:t>
      </w:r>
      <w:r>
        <w:rPr>
          <w:rFonts w:ascii="Times New Roman" w:hAnsi="Times New Roman" w:hint="default"/>
          <w:rtl w:val="0"/>
          <w:lang w:val="en-US"/>
        </w:rPr>
        <w:t>—</w:t>
      </w:r>
      <w:r>
        <w:rPr>
          <w:rFonts w:ascii="Times New Roman" w:hAnsi="Times New Roman"/>
          <w:rtl w:val="0"/>
          <w:lang w:val="en-US"/>
        </w:rPr>
        <w:t>Aaron Vandermeer</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AVC for Technology, Resources and Chief Information Officer</w:t>
      </w:r>
      <w:r>
        <w:rPr>
          <w:rFonts w:ascii="Times New Roman" w:hAnsi="Times New Roman" w:hint="default"/>
          <w:rtl w:val="0"/>
          <w:lang w:val="en-US"/>
        </w:rPr>
        <w:t>—</w:t>
      </w:r>
      <w:r>
        <w:rPr>
          <w:rFonts w:ascii="Times New Roman" w:hAnsi="Times New Roman"/>
          <w:rtl w:val="0"/>
          <w:lang w:val="en-US"/>
        </w:rPr>
        <w:t>Nancy Crouch</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Student Printing</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Course Evaluations - scantrons and beyond</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General DoIT service update</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Classroom upgrades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Director of Online Learning</w:t>
      </w:r>
      <w:r>
        <w:rPr>
          <w:rFonts w:ascii="Times New Roman" w:hAnsi="Times New Roman" w:hint="default"/>
          <w:rtl w:val="0"/>
          <w:lang w:val="en-US"/>
        </w:rPr>
        <w:t>—</w:t>
      </w:r>
      <w:r>
        <w:rPr>
          <w:rFonts w:ascii="Times New Roman" w:hAnsi="Times New Roman"/>
          <w:rtl w:val="0"/>
          <w:lang w:val="en-US"/>
        </w:rPr>
        <w:t>Joy Fuqua</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Dean of the Library</w:t>
      </w:r>
      <w:r>
        <w:rPr>
          <w:rFonts w:ascii="Times New Roman" w:hAnsi="Times New Roman" w:hint="default"/>
          <w:rtl w:val="0"/>
          <w:lang w:val="en-US"/>
        </w:rPr>
        <w:t>—</w:t>
      </w:r>
      <w:r>
        <w:rPr>
          <w:rFonts w:ascii="Times New Roman" w:hAnsi="Times New Roman"/>
          <w:rtl w:val="0"/>
          <w:lang w:val="en-US"/>
        </w:rPr>
        <w:t>Dennis Swanson</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Updates to the library</w:t>
      </w:r>
      <w:r>
        <w:rPr>
          <w:rFonts w:ascii="Times New Roman" w:hAnsi="Times New Roman" w:hint="default"/>
          <w:rtl w:val="0"/>
          <w:lang w:val="en-US"/>
        </w:rPr>
        <w:t>’</w:t>
      </w:r>
      <w:r>
        <w:rPr>
          <w:rFonts w:ascii="Times New Roman" w:hAnsi="Times New Roman"/>
          <w:rtl w:val="0"/>
          <w:lang w:val="en-US"/>
        </w:rPr>
        <w:t>s online capabilities (Summon, addition of a new Proxy system, updated database access).</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The process of selecting a new integrated library system (ILS) for the university.</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New library tech updates and equipment and ongoing remodeling.</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System-wide initiatives including:</w:t>
      </w:r>
      <w:r>
        <w:rPr>
          <w:rFonts w:ascii="Times New Roman" w:hAnsi="Times New Roman" w:hint="default"/>
          <w:rtl w:val="0"/>
          <w:lang w:val="en-US"/>
        </w:rPr>
        <w: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"https://carolinapublicpress.org/28175/state-university-libraries-collaborate-to-carry-fewer-books/"</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https://carolinapublicpress.org/28175/state-university-libraries-collaborate-to-carry-fewer-books/</w:t>
      </w:r>
      <w:r>
        <w:rPr>
          <w:rFonts w:ascii="Times New Roman" w:cs="Times New Roman" w:hAnsi="Times New Roman" w:eastAsia="Times New Roman"/>
        </w:rPr>
        <w:fldChar w:fldCharType="end" w:fldLock="0"/>
      </w:r>
      <w:r>
        <w:rPr>
          <w:rFonts w:ascii="Times New Roman" w:hAnsi="Times New Roman" w:hint="default"/>
          <w:rtl w:val="0"/>
          <w:lang w:val="en-US"/>
        </w:rPr>
        <w:t> </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The options for streaming video solutions as we look to change delivery media for DVD</w:t>
      </w:r>
      <w:r>
        <w:rPr>
          <w:rFonts w:ascii="Times New Roman" w:hAnsi="Times New Roman" w:hint="default"/>
          <w:rtl w:val="0"/>
          <w:lang w:val="en-US"/>
        </w:rPr>
        <w:t>’</w:t>
      </w:r>
      <w:r>
        <w:rPr>
          <w:rFonts w:ascii="Times New Roman" w:hAnsi="Times New Roman"/>
          <w:rtl w:val="0"/>
          <w:lang w:val="en-US"/>
        </w:rPr>
        <w:t>s.</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F.</w:t>
        <w:tab/>
      </w:r>
      <w:bookmarkStart w:name="AgendaJ" w:id="2"/>
      <w:bookmarkEnd w:id="2"/>
      <w:r>
        <w:rPr>
          <w:rStyle w:val="None"/>
          <w:rFonts w:ascii="Cambria" w:cs="Cambria" w:hAnsi="Cambria" w:eastAsia="Cambria"/>
          <w:b w:val="1"/>
          <w:bCs w:val="1"/>
          <w:rtl w:val="0"/>
          <w:lang w:val="en-US"/>
        </w:rPr>
        <w:t>U</w:t>
      </w:r>
      <w:r>
        <w:rPr>
          <w:rStyle w:val="None"/>
          <w:rFonts w:ascii="Cambria" w:cs="Cambria" w:hAnsi="Cambria" w:eastAsia="Cambria"/>
          <w:b w:val="1"/>
          <w:bCs w:val="1"/>
          <w:rtl w:val="0"/>
          <w:lang w:val="en-US"/>
        </w:rPr>
        <w:t>nfinished Business</w:t>
      </w:r>
      <w:r>
        <w:rPr>
          <w:rStyle w:val="None"/>
          <w:rFonts w:ascii="Arial Unicode MS" w:cs="Arial Unicode MS" w:hAnsi="Arial Unicode MS" w:eastAsia="Arial Unicode MS"/>
        </w:rPr>
        <w:br w:type="textWrapping"/>
      </w:r>
      <w:r>
        <w:rPr>
          <w:rStyle w:val="None"/>
          <w:rFonts w:ascii="Cambria" w:cs="Cambria" w:hAnsi="Cambria" w:eastAsia="Cambria"/>
          <w:b w:val="1"/>
          <w:bCs w:val="1"/>
          <w:rtl w:val="0"/>
          <w:lang w:val="en-US"/>
        </w:rPr>
        <w:t>G.</w:t>
        <w:tab/>
        <w:t>New Business</w:t>
      </w:r>
    </w:p>
    <w:p>
      <w:pPr>
        <w:pStyle w:val="Body A"/>
        <w:numPr>
          <w:ilvl w:val="0"/>
          <w:numId w:val="3"/>
        </w:numPr>
        <w:bidi w:val="0"/>
        <w:ind w:right="0"/>
        <w:jc w:val="left"/>
        <w:rPr>
          <w:rFonts w:ascii="Times New Roman" w:hAnsi="Times New Roman"/>
          <w:rtl w:val="0"/>
          <w:lang w:val="en-US"/>
        </w:rPr>
      </w:pPr>
      <w:r>
        <w:rPr>
          <w:rFonts w:ascii="Times New Roman" w:hAnsi="Times New Roman"/>
          <w:rtl w:val="0"/>
          <w:lang w:val="en-US"/>
        </w:rPr>
        <w:t>Prioritize potential agenda topics for AY 2018-19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\l "AppendixA" </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Appendix A</w:t>
      </w:r>
      <w:r>
        <w:rPr>
          <w:rFonts w:ascii="Times New Roman" w:cs="Times New Roman" w:hAnsi="Times New Roman" w:eastAsia="Times New Roman"/>
        </w:rPr>
        <w:fldChar w:fldCharType="end" w:fldLock="0"/>
      </w:r>
      <w:r>
        <w:rPr>
          <w:rFonts w:ascii="Times New Roman" w:hAnsi="Times New Roman"/>
          <w:rtl w:val="0"/>
          <w:lang w:val="en-US"/>
        </w:rPr>
        <w:t>)</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Taskstream LTI for Canvas</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H.</w:t>
        <w:tab/>
        <w:t>For the Good of the Order</w:t>
      </w:r>
    </w:p>
    <w:p>
      <w:pPr>
        <w:pStyle w:val="Body A"/>
        <w:numPr>
          <w:ilvl w:val="0"/>
          <w:numId w:val="4"/>
        </w:numPr>
        <w:bidi w:val="0"/>
        <w:ind w:right="0"/>
        <w:jc w:val="left"/>
        <w:rPr>
          <w:rFonts w:ascii="Times New Roman" w:hAnsi="Times New Roman"/>
          <w:rtl w:val="0"/>
          <w:lang w:val="en-US"/>
        </w:rPr>
      </w:pPr>
      <w:r>
        <w:rPr>
          <w:rStyle w:val="None"/>
          <w:rFonts w:ascii="Cambria" w:cs="Cambria" w:hAnsi="Cambria" w:eastAsia="Cambria"/>
          <w:rtl w:val="0"/>
          <w:lang w:val="en-US"/>
        </w:rPr>
        <w:t>Faculty Training Program for Online Instruction</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 xml:space="preserve">I. </w:t>
        <w:tab/>
        <w:t>Announcements</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J.</w:t>
        <w:tab/>
        <w:t>Adjournment</w:t>
      </w: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Cambria" w:cs="Cambria" w:hAnsi="Cambria" w:eastAsia="Cambria"/>
          <w:b w:val="1"/>
          <w:bCs w:val="1"/>
        </w:rPr>
      </w:pPr>
      <w:bookmarkStart w:name="AppendixA" w:id="3"/>
      <w:r>
        <w:rPr>
          <w:rStyle w:val="None"/>
          <w:rFonts w:ascii="Cambria" w:cs="Cambria" w:hAnsi="Cambria" w:eastAsia="Cambria"/>
          <w:b w:val="1"/>
          <w:bCs w:val="1"/>
          <w:rtl w:val="0"/>
          <w:lang w:val="en-US"/>
        </w:rPr>
        <w:t>Appendix A</w:t>
      </w:r>
      <w:bookmarkEnd w:id="3"/>
    </w:p>
    <w:p>
      <w:pPr>
        <w:pStyle w:val="Body A"/>
        <w:jc w:val="center"/>
        <w:rPr>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Possible Agenda Topics</w:t>
      </w:r>
    </w:p>
    <w:p>
      <w:pPr>
        <w:pStyle w:val="Body A"/>
        <w:numPr>
          <w:ilvl w:val="0"/>
          <w:numId w:val="6"/>
        </w:numPr>
        <w:rPr>
          <w:lang w:val="en-US"/>
        </w:rPr>
      </w:pPr>
      <w:r>
        <w:rPr>
          <w:rtl w:val="0"/>
          <w:lang w:val="en-US"/>
        </w:rPr>
        <w:t>Canvas governance</w:t>
      </w:r>
    </w:p>
    <w:p>
      <w:pPr>
        <w:pStyle w:val="Body A"/>
        <w:numPr>
          <w:ilvl w:val="1"/>
          <w:numId w:val="6"/>
        </w:numPr>
        <w:rPr>
          <w:lang w:val="en-US"/>
        </w:rPr>
      </w:pPr>
      <w:r>
        <w:rPr>
          <w:rtl w:val="0"/>
          <w:lang w:val="en-US"/>
        </w:rPr>
        <w:t>LTI review and approval process (We have no LTI requests to address this month, but anticipate we will have 2 next month)</w:t>
      </w:r>
    </w:p>
    <w:p>
      <w:pPr>
        <w:pStyle w:val="Body A"/>
        <w:numPr>
          <w:ilvl w:val="1"/>
          <w:numId w:val="6"/>
        </w:numPr>
        <w:rPr>
          <w:lang w:val="en-US"/>
        </w:rPr>
      </w:pPr>
      <w:r>
        <w:rPr>
          <w:rtl w:val="0"/>
          <w:lang w:val="en-US"/>
        </w:rPr>
        <w:t>Summer Terms in Canvas</w:t>
      </w:r>
    </w:p>
    <w:p>
      <w:pPr>
        <w:pStyle w:val="Body A"/>
        <w:numPr>
          <w:ilvl w:val="1"/>
          <w:numId w:val="6"/>
        </w:numPr>
        <w:rPr>
          <w:lang w:val="en-US"/>
        </w:rPr>
      </w:pPr>
      <w:r>
        <w:rPr>
          <w:rtl w:val="0"/>
          <w:lang w:val="en-US"/>
        </w:rPr>
        <w:t>Course Retention Schedule</w:t>
      </w:r>
    </w:p>
    <w:p>
      <w:pPr>
        <w:pStyle w:val="Body A"/>
        <w:numPr>
          <w:ilvl w:val="1"/>
          <w:numId w:val="6"/>
        </w:numPr>
        <w:rPr>
          <w:lang w:val="en-US"/>
        </w:rPr>
      </w:pPr>
      <w:r>
        <w:rPr>
          <w:rtl w:val="0"/>
          <w:lang w:val="en-US"/>
        </w:rPr>
        <w:t>Quizzes, NEXT</w:t>
      </w:r>
    </w:p>
    <w:p>
      <w:pPr>
        <w:pStyle w:val="Body A"/>
        <w:numPr>
          <w:ilvl w:val="1"/>
          <w:numId w:val="6"/>
        </w:numPr>
        <w:rPr>
          <w:lang w:val="en-US"/>
        </w:rPr>
      </w:pPr>
      <w:r>
        <w:rPr>
          <w:rtl w:val="0"/>
          <w:lang w:val="en-US"/>
        </w:rPr>
        <w:t>Allowing Instructure (Canvas) Support personnel to modify courses for instructors in limited ways</w:t>
      </w:r>
    </w:p>
    <w:p>
      <w:pPr>
        <w:pStyle w:val="Body A"/>
        <w:numPr>
          <w:ilvl w:val="1"/>
          <w:numId w:val="6"/>
        </w:numPr>
        <w:rPr>
          <w:lang w:val="en-US"/>
        </w:rPr>
      </w:pPr>
      <w:r>
        <w:rPr>
          <w:rtl w:val="0"/>
          <w:lang w:val="en-US"/>
        </w:rPr>
        <w:t>Revisit SGA resolution regarding LMS/Canvas training for students</w:t>
      </w:r>
    </w:p>
    <w:p>
      <w:pPr>
        <w:pStyle w:val="Body A"/>
        <w:numPr>
          <w:ilvl w:val="0"/>
          <w:numId w:val="6"/>
        </w:numPr>
        <w:rPr>
          <w:lang w:val="en-US"/>
        </w:rPr>
      </w:pPr>
      <w:r>
        <w:rPr>
          <w:rtl w:val="0"/>
          <w:lang w:val="en-US"/>
        </w:rPr>
        <w:t>Online course evaluations</w:t>
      </w:r>
    </w:p>
    <w:p>
      <w:pPr>
        <w:pStyle w:val="Body A"/>
        <w:numPr>
          <w:ilvl w:val="0"/>
          <w:numId w:val="6"/>
        </w:numPr>
        <w:rPr>
          <w:lang w:val="en-US"/>
        </w:rPr>
      </w:pPr>
      <w:r>
        <w:rPr>
          <w:rtl w:val="0"/>
          <w:lang w:val="en-US"/>
        </w:rPr>
        <w:t>Electronic Portfolios for Promotion/Tenure - Canvas, Digital Measures, other options?</w:t>
      </w:r>
    </w:p>
    <w:p>
      <w:pPr>
        <w:pStyle w:val="Body A"/>
        <w:numPr>
          <w:ilvl w:val="0"/>
          <w:numId w:val="6"/>
        </w:numPr>
        <w:rPr>
          <w:lang w:val="en-US"/>
        </w:rPr>
      </w:pPr>
      <w:r>
        <w:rPr>
          <w:rtl w:val="0"/>
          <w:lang w:val="en-US"/>
        </w:rPr>
        <w:t xml:space="preserve">WW2 web sites </w:t>
      </w:r>
      <w:r>
        <w:rPr>
          <w:rtl w:val="0"/>
          <w:lang w:val="en-US"/>
        </w:rPr>
        <w:t xml:space="preserve">– </w:t>
      </w:r>
      <w:r>
        <w:rPr>
          <w:rtl w:val="0"/>
          <w:lang w:val="en-US"/>
        </w:rPr>
        <w:t>replacing with Google Sites in the coming months under leadership of our university web master. What do faculty need?</w:t>
      </w:r>
      <w:r>
        <w:rPr>
          <w:rtl w:val="0"/>
          <w:lang w:val="en-US"/>
        </w:rPr>
        <w:t> </w:t>
      </w:r>
      <w:r>
        <w:rPr>
          <w:rtl w:val="0"/>
          <w:lang w:val="en-US"/>
        </w:rPr>
        <w:t>(a future discussion requested by Jodi Phelps, UCM)</w:t>
      </w:r>
    </w:p>
    <w:p>
      <w:pPr>
        <w:pStyle w:val="Body A"/>
        <w:numPr>
          <w:ilvl w:val="0"/>
          <w:numId w:val="6"/>
        </w:numPr>
        <w:rPr>
          <w:lang w:val="en-US"/>
        </w:rPr>
      </w:pPr>
      <w:r>
        <w:rPr>
          <w:rtl w:val="0"/>
          <w:lang w:val="en-US"/>
        </w:rPr>
        <w:t xml:space="preserve">ISI (classroom infrastructure refresh) next steps </w:t>
      </w:r>
      <w:r>
        <w:rPr>
          <w:rtl w:val="0"/>
          <w:lang w:val="en-US"/>
        </w:rPr>
        <w:t xml:space="preserve">– </w:t>
      </w:r>
      <w:r>
        <w:rPr>
          <w:rtl w:val="0"/>
          <w:lang w:val="en-US"/>
        </w:rPr>
        <w:t>planning the refresh cycle and technologies for additional classrooms, how to get feedback from faculty on the rooms we refreshed spring break and summer 2018</w:t>
      </w:r>
    </w:p>
    <w:p>
      <w:pPr>
        <w:pStyle w:val="Body A"/>
        <w:numPr>
          <w:ilvl w:val="0"/>
          <w:numId w:val="6"/>
        </w:numPr>
        <w:rPr>
          <w:lang w:val="en-US"/>
        </w:rPr>
      </w:pPr>
      <w:r>
        <w:rPr>
          <w:rtl w:val="0"/>
          <w:lang w:val="en-US"/>
        </w:rPr>
        <w:t xml:space="preserve">Survey </w:t>
      </w:r>
      <w:r>
        <w:rPr>
          <w:rtl w:val="0"/>
          <w:lang w:val="en-US"/>
        </w:rPr>
        <w:t xml:space="preserve">– </w:t>
      </w:r>
      <w:r>
        <w:rPr>
          <w:rtl w:val="0"/>
          <w:lang w:val="en-US"/>
        </w:rPr>
        <w:t>shall we revise satisfaction survey and recirculate in January 2019</w:t>
      </w:r>
    </w:p>
    <w:p>
      <w:pPr>
        <w:pStyle w:val="Body A"/>
        <w:numPr>
          <w:ilvl w:val="0"/>
          <w:numId w:val="6"/>
        </w:numPr>
        <w:rPr>
          <w:lang w:val="en-US"/>
        </w:rPr>
      </w:pPr>
      <w:r>
        <w:rPr>
          <w:rtl w:val="0"/>
          <w:lang w:val="en-US"/>
        </w:rPr>
        <w:t>Technology provisions for adjunct faculty</w:t>
      </w:r>
    </w:p>
    <w:p>
      <w:pPr>
        <w:pStyle w:val="Body A"/>
        <w:numPr>
          <w:ilvl w:val="0"/>
          <w:numId w:val="6"/>
        </w:numPr>
        <w:rPr>
          <w:lang w:val="en-US"/>
        </w:rPr>
      </w:pPr>
      <w:r>
        <w:rPr>
          <w:rtl w:val="0"/>
          <w:lang w:val="en-US"/>
        </w:rPr>
        <w:t>Faculty Training Program for Online Instruction</w:t>
      </w:r>
    </w:p>
    <w:p>
      <w:pPr>
        <w:pStyle w:val="Body A"/>
        <w:numPr>
          <w:ilvl w:val="0"/>
          <w:numId w:val="6"/>
        </w:numPr>
        <w:rPr>
          <w:lang w:val="en-US"/>
        </w:rPr>
      </w:pPr>
      <w:r>
        <w:rPr>
          <w:rtl w:val="0"/>
          <w:lang w:val="en-US"/>
        </w:rPr>
        <w:t>Automated attendance solutions (geo-fencing) - Involvio</w:t>
      </w:r>
    </w:p>
    <w:p>
      <w:pPr>
        <w:pStyle w:val="Body A"/>
      </w:pPr>
      <w:r>
        <w:rPr>
          <w:b w:val="1"/>
          <w:bCs w:val="1"/>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7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1"/>
      </w:numPr>
    </w:pPr>
  </w:style>
  <w:style w:type="character" w:styleId="None">
    <w:name w:val="None"/>
  </w:style>
  <w:style w:type="character" w:styleId="Hyperlink.0">
    <w:name w:val="Hyperlink.0"/>
    <w:basedOn w:val="None"/>
    <w:next w:val="Hyperlink.0"/>
    <w:rPr>
      <w:color w:val="0000ff"/>
      <w:u w:val="single" w:color="0000ff"/>
    </w:r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