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University of North Carolina at Pembroke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Academic Information Technology Committee </w:t>
      </w:r>
      <w:r>
        <w:rPr>
          <w:rtl w:val="0"/>
          <w:lang w:val="en-US"/>
        </w:rPr>
        <w:t>(AITC)</w:t>
      </w:r>
    </w:p>
    <w:p>
      <w:pPr>
        <w:pStyle w:val="Body A"/>
        <w:jc w:val="center"/>
      </w:pPr>
      <w:r>
        <w:rPr>
          <w:b w:val="1"/>
          <w:bCs w:val="1"/>
          <w:rtl w:val="0"/>
          <w:lang w:val="en-US"/>
        </w:rPr>
        <w:t xml:space="preserve">Agenda - </w:t>
      </w:r>
      <w:r>
        <w:rPr>
          <w:rtl w:val="0"/>
          <w:lang w:val="en-US"/>
        </w:rPr>
        <w:t xml:space="preserve">Monday, </w:t>
      </w:r>
      <w:r>
        <w:rPr>
          <w:rtl w:val="0"/>
          <w:lang w:val="en-US"/>
        </w:rPr>
        <w:t>April 8</w:t>
      </w:r>
      <w:r>
        <w:rPr>
          <w:rtl w:val="0"/>
          <w:lang w:val="en-US"/>
        </w:rPr>
        <w:t>, 2019 at 3:30 p.m.</w:t>
      </w:r>
    </w:p>
    <w:p>
      <w:pPr>
        <w:pStyle w:val="Body A"/>
        <w:jc w:val="center"/>
      </w:pPr>
      <w:r>
        <w:rPr>
          <w:rtl w:val="0"/>
          <w:lang w:val="en-US"/>
        </w:rPr>
        <w:t>Chavis University Center 208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 of the AITC: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Aaron Vandermeer (Chair), Senator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Conner Sandefur, Senator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Larry Arnold (ARTS, 2020)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Lisa Mitchell (EDUC, 2020)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Walter Lewallen (LETT, 2019)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Jesse Rouse (NSM, 2019)</w:t>
      </w:r>
      <w:r>
        <w:rPr>
          <w:rtl w:val="0"/>
          <w:lang w:val="nl-NL"/>
        </w:rPr>
        <w:t xml:space="preserve">;        </w:t>
      </w:r>
      <w:r>
        <w:rPr>
          <w:rtl w:val="0"/>
          <w:lang w:val="nl-NL"/>
        </w:rPr>
        <w:t>Mohammad Rahman (SBS, 2020)</w:t>
      </w:r>
      <w:r>
        <w:rPr>
          <w:rtl w:val="0"/>
          <w:lang w:val="nl-NL"/>
        </w:rPr>
        <w:t>; Kevin Pait</w:t>
      </w:r>
      <w:r>
        <w:rPr>
          <w:rtl w:val="0"/>
          <w:lang w:val="nl-NL"/>
        </w:rPr>
        <w:t xml:space="preserve">, </w:t>
      </w:r>
      <w:r>
        <w:rPr>
          <w:rtl w:val="0"/>
          <w:lang w:val="nl-NL"/>
        </w:rPr>
        <w:t xml:space="preserve">Interim </w:t>
      </w:r>
      <w:r>
        <w:rPr>
          <w:rtl w:val="0"/>
          <w:lang w:val="nl-NL"/>
        </w:rPr>
        <w:t>CIO</w:t>
      </w:r>
      <w:r>
        <w:rPr>
          <w:rtl w:val="0"/>
          <w:lang w:val="nl-NL"/>
        </w:rPr>
        <w:t xml:space="preserve">; </w:t>
      </w:r>
      <w:r>
        <w:rPr>
          <w:rtl w:val="0"/>
          <w:lang w:val="en-US"/>
        </w:rPr>
        <w:t>Joy Fuqua, Director of Online Learning</w:t>
      </w:r>
      <w:r>
        <w:rPr>
          <w:rtl w:val="0"/>
          <w:lang w:val="en-US"/>
        </w:rPr>
        <w:t xml:space="preserve">; </w:t>
      </w:r>
      <w:r>
        <w:rPr>
          <w:rtl w:val="0"/>
          <w:lang w:val="nl-NL"/>
        </w:rPr>
        <w:t>Terry Locklear, Instructional Designer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 xml:space="preserve">Debbie Bullard, Representative of the </w:t>
      </w:r>
      <w:r>
        <w:rPr>
          <w:lang w:val="nl-NL"/>
        </w:rPr>
        <w:tab/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Accessibility Resource Center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Dennis Swanson, Representative of the Library</w:t>
      </w:r>
      <w:r>
        <w:rPr>
          <w:rtl w:val="0"/>
          <w:lang w:val="nl-NL"/>
        </w:rPr>
        <w:t xml:space="preserve">; </w:t>
      </w:r>
      <w:r>
        <w:rPr>
          <w:rtl w:val="0"/>
          <w:lang w:val="nl-NL"/>
        </w:rPr>
        <w:t>Tremain Ingram, SGA Senator</w:t>
      </w:r>
    </w:p>
    <w:p>
      <w:pPr>
        <w:pStyle w:val="Body A"/>
        <w:rPr>
          <w:rFonts w:ascii="Times New Roman" w:cs="Times New Roman" w:hAnsi="Times New Roman" w:eastAsia="Times New Roman"/>
          <w:lang w:val="nl-NL"/>
        </w:rPr>
      </w:pPr>
    </w:p>
    <w:p>
      <w:pPr>
        <w:pStyle w:val="Body A"/>
        <w:jc w:val="center"/>
        <w:rPr>
          <w:b w:val="1"/>
          <w:bCs w:val="1"/>
        </w:rPr>
      </w:pPr>
      <w:bookmarkStart w:name="ReturnToAgenda" w:id="0"/>
      <w:r>
        <w:rPr>
          <w:b w:val="1"/>
          <w:bCs w:val="1"/>
          <w:rtl w:val="0"/>
          <w:lang w:val="en-US"/>
        </w:rPr>
        <w:t>Order of Business</w:t>
      </w:r>
      <w:bookmarkEnd w:id="0"/>
    </w:p>
    <w:p>
      <w:pPr>
        <w:pStyle w:val="Body A"/>
        <w:tabs>
          <w:tab w:val="left" w:pos="360"/>
          <w:tab w:val="left" w:pos="90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A.</w:t>
        <w:tab/>
        <w:t>Roll Call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>B.</w:t>
        <w:tab/>
        <w:t>Approval of Minutes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"AppendixA"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Appendix A</w:t>
      </w:r>
      <w:r>
        <w:rPr/>
        <w:fldChar w:fldCharType="end" w:fldLock="0"/>
      </w:r>
      <w:r>
        <w:rPr>
          <w:rStyle w:val="None"/>
          <w:rtl w:val="0"/>
          <w:lang w:val="en-US"/>
        </w:rPr>
        <w:t>)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C.</w:t>
        <w:tab/>
        <w:t>Adoption of Agenda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D.</w:t>
        <w:tab/>
        <w:t>Reports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AITC Chair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>Aaron Vandermeer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Interim </w:t>
      </w:r>
      <w:r>
        <w:rPr>
          <w:rFonts w:ascii="Times New Roman" w:hAnsi="Times New Roman"/>
          <w:rtl w:val="0"/>
          <w:lang w:val="en-US"/>
        </w:rPr>
        <w:t>AVC for Technology, Resources and Chief Information Officer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>Kevin Pait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Director of Online Learning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>Joy Fuqua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Library Report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>Dennis Swanson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E.</w:t>
        <w:tab/>
        <w:t>Unfinished Business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Report: Online Student Evaluation of Instruction (</w:t>
      </w:r>
      <w:r>
        <w:rPr>
          <w:rStyle w:val="None"/>
          <w:rFonts w:ascii="Times New Roman" w:hAnsi="Times New Roman"/>
          <w:rtl w:val="0"/>
          <w:lang w:val="en-US"/>
        </w:rPr>
        <w:t>Mohammed*, Terry, Tab</w:t>
      </w:r>
      <w:r>
        <w:rPr>
          <w:rStyle w:val="None"/>
          <w:rFonts w:ascii="Times New Roman" w:hAnsi="Times New Roman"/>
          <w:rtl w:val="0"/>
          <w:lang w:val="en-US"/>
        </w:rPr>
        <w:t>itha)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Report: Faculty Training Program for Online Instruction (Lisa*, </w:t>
      </w:r>
      <w:r>
        <w:rPr>
          <w:rStyle w:val="None"/>
          <w:rFonts w:ascii="Times New Roman" w:hAnsi="Times New Roman"/>
          <w:rtl w:val="0"/>
          <w:lang w:val="en-US"/>
        </w:rPr>
        <w:t>Joy, Terry, Scott</w:t>
      </w:r>
      <w:r>
        <w:rPr>
          <w:rStyle w:val="None"/>
          <w:rFonts w:ascii="Times New Roman" w:hAnsi="Times New Roman"/>
          <w:rtl w:val="0"/>
          <w:lang w:val="en-US"/>
        </w:rPr>
        <w:t>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Report: Online Portfolio for Faculty [Major] Evaluation (Aaron*, Larry, Ray)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F.</w:t>
      </w:r>
      <w:r>
        <w:rPr>
          <w:rStyle w:val="None"/>
        </w:rPr>
        <w:tab/>
      </w:r>
      <w:r>
        <w:rPr>
          <w:rStyle w:val="None"/>
          <w:b w:val="1"/>
          <w:bCs w:val="1"/>
          <w:rtl w:val="0"/>
          <w:lang w:val="en-US"/>
        </w:rPr>
        <w:t>New Business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LTI Requests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Nearpod: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"https://bravemailuncp-my.sharepoint.com/:w:/r/personal/frazier_uncp_edu/_layouts/15/Doc.aspx?sourcedoc=%7B034846ff-1385-4168-96d7-f07dd73c99f5%7D&amp;action=default&amp;gad=1170"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Click here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for supporting documentation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Develop Ideas for AITC Agenda Items for AY 2019-2020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G. </w:t>
        <w:tab/>
        <w:t>For the Good of the Order</w:t>
      </w:r>
    </w:p>
    <w:p>
      <w:pPr>
        <w:pStyle w:val="Body A"/>
        <w:tabs>
          <w:tab w:val="left" w:pos="360"/>
          <w:tab w:val="left" w:pos="900"/>
        </w:tabs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H</w:t>
      </w:r>
      <w:r>
        <w:rPr>
          <w:rStyle w:val="None"/>
          <w:b w:val="1"/>
          <w:bCs w:val="1"/>
          <w:rtl w:val="0"/>
          <w:lang w:val="en-US"/>
        </w:rPr>
        <w:t>.</w:t>
        <w:tab/>
        <w:t>DoIT Technology Report for AITC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</w:t>
      </w:r>
      <w:r>
        <w:rPr>
          <w:rStyle w:val="None"/>
          <w:b w:val="1"/>
          <w:bCs w:val="1"/>
          <w:rtl w:val="0"/>
          <w:lang w:val="en-US"/>
        </w:rPr>
        <w:t>.</w:t>
        <w:tab/>
        <w:t>Announcements</w:t>
      </w:r>
    </w:p>
    <w:p>
      <w:pPr>
        <w:pStyle w:val="Body A"/>
        <w:tabs>
          <w:tab w:val="left" w:pos="360"/>
          <w:tab w:val="left" w:pos="900"/>
        </w:tabs>
      </w:pPr>
      <w:r>
        <w:rPr>
          <w:rStyle w:val="None"/>
          <w:b w:val="1"/>
          <w:bCs w:val="1"/>
          <w:rtl w:val="0"/>
          <w:lang w:val="en-US"/>
        </w:rPr>
        <w:t>J</w:t>
      </w:r>
      <w:r>
        <w:rPr>
          <w:rStyle w:val="None"/>
          <w:b w:val="1"/>
          <w:bCs w:val="1"/>
          <w:rtl w:val="0"/>
          <w:lang w:val="en-US"/>
        </w:rPr>
        <w:t xml:space="preserve">. </w:t>
        <w:tab/>
        <w:t>Adjournment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b w:val="1"/>
          <w:bCs w:val="1"/>
        </w:rPr>
      </w:pPr>
      <w:bookmarkStart w:name="AppendixA" w:id="1"/>
      <w:r>
        <w:rPr>
          <w:rStyle w:val="None"/>
          <w:b w:val="1"/>
          <w:bCs w:val="1"/>
          <w:rtl w:val="0"/>
          <w:lang w:val="en-US"/>
        </w:rPr>
        <w:t>Appendix A</w:t>
      </w:r>
      <w:bookmarkEnd w:id="1"/>
      <w:r>
        <w:rPr>
          <w:rStyle w:val="None"/>
          <w:b w:val="1"/>
          <w:bCs w:val="1"/>
          <w:rtl w:val="0"/>
          <w:lang w:val="en-US"/>
        </w:rPr>
        <w:t>—</w:t>
      </w:r>
      <w:r>
        <w:rPr>
          <w:rStyle w:val="None"/>
          <w:b w:val="1"/>
          <w:bCs w:val="1"/>
          <w:rtl w:val="0"/>
          <w:lang w:val="en-US"/>
        </w:rPr>
        <w:t xml:space="preserve">Minutes Draft of </w:t>
      </w:r>
      <w:r>
        <w:rPr>
          <w:rStyle w:val="None"/>
          <w:b w:val="1"/>
          <w:bCs w:val="1"/>
          <w:rtl w:val="0"/>
          <w:lang w:val="en-US"/>
        </w:rPr>
        <w:t>March 11</w:t>
      </w:r>
      <w:r>
        <w:rPr>
          <w:rStyle w:val="None"/>
          <w:b w:val="1"/>
          <w:bCs w:val="1"/>
          <w:rtl w:val="0"/>
          <w:lang w:val="en-US"/>
        </w:rPr>
        <w:t>, 201</w:t>
      </w:r>
      <w:r>
        <w:rPr>
          <w:rStyle w:val="None"/>
          <w:b w:val="1"/>
          <w:bCs w:val="1"/>
          <w:rtl w:val="0"/>
          <w:lang w:val="en-US"/>
        </w:rPr>
        <w:t>9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A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The University of North Carolina at Pembroke</w:t>
      </w:r>
    </w:p>
    <w:p>
      <w:pPr>
        <w:pStyle w:val="Body A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Academic Information Technology Committee </w:t>
      </w:r>
      <w:r>
        <w:rPr>
          <w:rStyle w:val="None"/>
          <w:rtl w:val="0"/>
          <w:lang w:val="en-US"/>
        </w:rPr>
        <w:t>(AITC)</w:t>
      </w:r>
    </w:p>
    <w:p>
      <w:pPr>
        <w:pStyle w:val="Body A"/>
        <w:jc w:val="center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 xml:space="preserve">Minutes - </w:t>
      </w:r>
      <w:r>
        <w:rPr>
          <w:rStyle w:val="None"/>
          <w:rtl w:val="0"/>
          <w:lang w:val="en-US"/>
        </w:rPr>
        <w:t>Monday, March 11, 2019 at 3:30 p.m.</w:t>
      </w:r>
    </w:p>
    <w:p>
      <w:pPr>
        <w:pStyle w:val="Body A"/>
        <w:jc w:val="center"/>
        <w:rPr>
          <w:rStyle w:val="None"/>
        </w:rPr>
      </w:pPr>
      <w:r>
        <w:rPr>
          <w:rStyle w:val="None"/>
          <w:rtl w:val="0"/>
          <w:lang w:val="en-US"/>
        </w:rPr>
        <w:t>Chavis University Center 208</w:t>
      </w:r>
    </w:p>
    <w:p>
      <w:pPr>
        <w:pStyle w:val="Body"/>
        <w:rPr>
          <w:rStyle w:val="None"/>
        </w:rPr>
      </w:pPr>
    </w:p>
    <w:p>
      <w:pPr>
        <w:pStyle w:val="Body"/>
        <w:rPr>
          <w:rStyle w:val="None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Members of the AITC Present:</w: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Calibri" w:hAnsi="Times New Roman" w:eastAsia="Calibri"/>
          <w:sz w:val="24"/>
          <w:szCs w:val="24"/>
          <w:rtl w:val="0"/>
          <w:lang w:val="en-US"/>
        </w:rPr>
        <w:t xml:space="preserve">Aaron Vandermeer (Chair), Senator; Conner Sandefur, Senator; Larry Arnold (ARTS, 2020); Lisa Mitchell (EDUC, 2020); Jesse Rouse (NSM, 2019); Kevin Pait, Interim CIO; Joy Fuqua, Director of Online Learning; Terry Locklear, Instructional Designer; Debbie Bullard, Representative of the Accessibility Resource Center; Dennis Swanson, Representative of the Library; and Tremain Ingram, SGA Senator </w:t>
      </w:r>
    </w:p>
    <w:p>
      <w:pPr>
        <w:pStyle w:val="Body"/>
        <w:rPr>
          <w:rStyle w:val="None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Members absent:</w: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Calibri" w:hAnsi="Times New Roman" w:eastAsia="Calibri"/>
          <w:sz w:val="24"/>
          <w:szCs w:val="24"/>
          <w:rtl w:val="0"/>
          <w:lang w:val="en-US"/>
        </w:rPr>
        <w:t>Walter Lewallen (LETT, 2019) and Mohammad Rahman (SBS, 2020)</w:t>
      </w:r>
    </w:p>
    <w:p>
      <w:pPr>
        <w:pStyle w:val="Body"/>
        <w:rPr>
          <w:rStyle w:val="None"/>
        </w:rPr>
      </w:pPr>
    </w:p>
    <w:p>
      <w:pPr>
        <w:pStyle w:val="Body B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Visitors in attendance</w: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Calibri" w:hAnsi="Times New Roman" w:eastAsia="Calibri"/>
          <w:sz w:val="24"/>
          <w:szCs w:val="24"/>
          <w:rtl w:val="0"/>
          <w:lang w:val="de-DE"/>
        </w:rPr>
        <w:t>Ray Buehne, DoIT</w:t>
      </w:r>
      <w:r>
        <w:rPr>
          <w:rStyle w:val="None"/>
          <w:rFonts w:ascii="Times New Roman" w:cs="Calibri" w:hAnsi="Times New Roman" w:eastAsia="Calibri"/>
          <w:sz w:val="24"/>
          <w:szCs w:val="24"/>
          <w:rtl w:val="0"/>
          <w:lang w:val="en-US"/>
        </w:rPr>
        <w:t xml:space="preserve"> and Tabitha O. Locklear, DoIT</w:t>
      </w:r>
    </w:p>
    <w:p>
      <w:pPr>
        <w:pStyle w:val="Body"/>
        <w:rPr>
          <w:rStyle w:val="None"/>
        </w:rPr>
      </w:pP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</w:t>
        <w:tab/>
        <w:t>Roll Call</w:t>
      </w:r>
    </w:p>
    <w:p>
      <w:pPr>
        <w:pStyle w:val="Body A"/>
        <w:tabs>
          <w:tab w:val="left" w:pos="360"/>
          <w:tab w:val="left" w:pos="900"/>
        </w:tabs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B.</w:t>
        <w:tab/>
        <w:t>Approval of Minutes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C.</w:t>
        <w:tab/>
        <w:t>Adoption of Agenda</w:t>
      </w:r>
    </w:p>
    <w:p>
      <w:pPr>
        <w:pStyle w:val="Body A"/>
        <w:tabs>
          <w:tab w:val="left" w:pos="360"/>
          <w:tab w:val="left" w:pos="90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D.</w:t>
        <w:tab/>
        <w:t>Reports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AITC Chair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Aaron Vandermeer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BraveAssist scholarship portal has gone live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Would like to see a better (online) system for declaration of majors (which impacts scholarships)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Make governing documents gender neutral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Would like to see preferred name in Canvas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Interim AVC for Technology, Resources and Chief Information Officer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Kevin Pait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ampus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omputing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>nitiative (CCI)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email went out 11 March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Taking justifications through 22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24"/>
          <w:szCs w:val="24"/>
          <w:rtl w:val="0"/>
          <w:lang w:val="en-US"/>
        </w:rPr>
        <w:t>, roll out beginning in May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UNCP will be featured at Cisco Live conference in June 2019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Google users off-boarding (and O365)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Working on a strategy to set up a responsible policy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Working on planning for Business building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Dennis Swanson asked, based on recent round of fishing and SPAM, about DoIT branded emails for internal communication to make help make it clear that emails are not SPAM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Suggestion of making emails visible in addition name in headers 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Jesse Rouse asked about any updates regarding West Hall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April 2020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Director of Online Learning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Joy Fuqua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Course Evaluation systems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Beginning to narrow down list of options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Terry Locklear shared that we do have a campus-wide license of Course-Eval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Terry Locklear noted that Chairs training would be added as a module in current Faculty Canvas Training course for Chair training/information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 Report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Dennis Swanson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Implementing new library system (Ex-Libris), with April 7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test version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Faculty training at the end of the semester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Full switch to new system on June 2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nd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Positive feedback on Kanopy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Conversations about Elsevier are happening within the system and there is a possibility that it may be dropped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Will be meeting with STEM chairs about any issues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Reason for drop-Publishing fees on top of subscriptions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Terry Locklear asked about timeline for notification if there is a decision to drop Elsevier?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rtl w:val="0"/>
          <w:lang w:val="en-US"/>
        </w:rPr>
        <w:t>9-12 months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"/>
        <w:rPr>
          <w:rStyle w:val="None"/>
        </w:rPr>
      </w:pPr>
    </w:p>
    <w:p>
      <w:pPr>
        <w:pStyle w:val="Body A"/>
        <w:tabs>
          <w:tab w:val="left" w:pos="360"/>
          <w:tab w:val="left" w:pos="900"/>
        </w:tabs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E. Unfinished Business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Report: Online Student Evaluation of Instruction (Rahman*, Terry Locklear, Tabitha Locklear)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CourseEval is now in Canvas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Report: Faculty Training Program for Online Instruction (Mitchell*, Fuqua, Terry Locklear, Hicks)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Subcommittee Report reviewed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Looking at modified QM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Academic Affairs supports the initiative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Take to May Senate meeting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Tremain Ingram suggested that the certification could be shown in Braveweb so that students registering would know who had completed the certification.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Joy Fuqua noted that faculty training for QM is available online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Aaron Vande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>meer suggested that we need to have an idea of what the training will look (time, learning objectives, etc) to take to senate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Report: Online Portfolio for Faculty [Major] Evaluation (Vande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>meer*, Arnold, Buehne)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Digital Measures training from company for the subcommittee to familiarize themselves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Subcommittee will also look at G-Suite and OneDrive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Aaron Vande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>meer has also been contacted by Inter</w:t>
      </w:r>
      <w:r>
        <w:rPr>
          <w:rFonts w:ascii="Times New Roman" w:hAnsi="Times New Roman"/>
          <w:sz w:val="24"/>
          <w:szCs w:val="24"/>
          <w:rtl w:val="0"/>
          <w:lang w:val="en-US"/>
        </w:rPr>
        <w:t>F</w:t>
      </w:r>
      <w:r>
        <w:rPr>
          <w:rFonts w:ascii="Times New Roman" w:hAnsi="Times New Roman"/>
          <w:sz w:val="24"/>
          <w:szCs w:val="24"/>
          <w:rtl w:val="0"/>
          <w:lang w:val="en-US"/>
        </w:rPr>
        <w:t>olio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AA would be willing to manage permissions of technologies (whether web or shared drive)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Subcommittee will bring more in April.</w:t>
      </w:r>
    </w:p>
    <w:p>
      <w:pPr>
        <w:pStyle w:val="Body"/>
        <w:rPr>
          <w:rStyle w:val="None"/>
        </w:rPr>
      </w:pPr>
    </w:p>
    <w:p>
      <w:pPr>
        <w:pStyle w:val="Body A"/>
        <w:tabs>
          <w:tab w:val="left" w:pos="360"/>
          <w:tab w:val="left" w:pos="900"/>
        </w:tabs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cs="Cambria" w:hAnsi="Cambria" w:eastAsia="Cambria"/>
          <w:b w:val="1"/>
          <w:bCs w:val="1"/>
          <w:rtl w:val="0"/>
          <w:lang w:val="en-US"/>
        </w:rPr>
        <w:t>F.</w:t>
      </w:r>
      <w:r>
        <w:tab/>
      </w:r>
      <w:r>
        <w:rPr>
          <w:rStyle w:val="None"/>
          <w:rFonts w:ascii="Cambria" w:cs="Cambria" w:hAnsi="Cambria" w:eastAsia="Cambria"/>
          <w:b w:val="1"/>
          <w:bCs w:val="1"/>
          <w:rtl w:val="0"/>
          <w:lang w:val="en-US"/>
        </w:rPr>
        <w:t>New Business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LTI Requests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Grammarly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DoIT Recommends against due to false-positives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committee voted against adopting the Grammarly LTI for Canvas</w:t>
      </w:r>
    </w:p>
    <w:p>
      <w:pPr>
        <w:pStyle w:val="List Paragraph"/>
        <w:numPr>
          <w:ilvl w:val="2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Proposal Fails  (0-11-0)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Nearpod: Click here for supporting documentation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 funding source specified. 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note that AITC approval does not suggest a recommendation for purchase of the software, only that the LTI seems acceptable for use in our Canvas environment.</w:t>
      </w: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Vote was tabled to allow ARC to review.</w:t>
      </w:r>
    </w:p>
    <w:p>
      <w:pPr>
        <w:pStyle w:val="List Paragraph"/>
        <w:numPr>
          <w:ilvl w:val="2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Proposal Tabled until April meeting: (11-0-0)</w:t>
      </w:r>
    </w:p>
    <w:p>
      <w:pPr>
        <w:pStyle w:val="Body"/>
        <w:rPr>
          <w:rStyle w:val="None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G.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​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For the Good of the Order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Adaptive Design in Canvas</w:t>
      </w:r>
    </w:p>
    <w:p>
      <w:pPr>
        <w:pStyle w:val="List Paragraph"/>
        <w:numPr>
          <w:ilvl w:val="1"/>
          <w:numId w:val="1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Mastery tests, contracting, and specification grading were discussed as possibilities in Canvas</w:t>
      </w:r>
    </w:p>
    <w:p>
      <w:pPr>
        <w:pStyle w:val="Body"/>
        <w:rPr>
          <w:rStyle w:val="None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>H.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​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DoIT Technology Report for AITC</w:t>
      </w:r>
    </w:p>
    <w:p>
      <w:pPr>
        <w:pStyle w:val="Body"/>
        <w:rPr>
          <w:rStyle w:val="None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I.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​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Announcements</w:t>
      </w:r>
    </w:p>
    <w:p>
      <w:pPr>
        <w:pStyle w:val="Body"/>
        <w:rPr>
          <w:rStyle w:val="None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J.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​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Adjournment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meeting adjourned at 4:32.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360"/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360"/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360"/>
          <w:tab w:val="left" w:pos="9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900"/>
        </w:tabs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360"/>
          <w:tab w:val="left" w:pos="900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u w:val="single" w:color="0000ff"/>
    </w:rPr>
  </w:style>
  <w:style w:type="numbering" w:styleId="Imported Style 3">
    <w:name w:val="Imported Style 3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5"/>
      </w:numPr>
    </w:pPr>
  </w:style>
  <w:style w:type="numbering" w:styleId="Imported Style 2">
    <w:name w:val="Imported Style 2"/>
    <w:pPr>
      <w:numPr>
        <w:numId w:val="7"/>
      </w:numPr>
    </w:pPr>
  </w:style>
  <w:style w:type="numbering" w:styleId="Imported Style 4">
    <w:name w:val="Imported Style 4"/>
    <w:pPr>
      <w:numPr>
        <w:numId w:val="12"/>
      </w:numPr>
    </w:pPr>
  </w:style>
  <w:style w:type="numbering" w:styleId="Imported Style 5">
    <w:name w:val="Imported Style 5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