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6ADC" w14:textId="77777777" w:rsidR="000A561B" w:rsidRDefault="000A561B" w:rsidP="000A561B">
      <w:pPr>
        <w:widowControl/>
        <w:jc w:val="center"/>
        <w:rPr>
          <w:rFonts w:eastAsia="Calibri"/>
          <w:b/>
          <w:color w:val="000000"/>
        </w:rPr>
      </w:pPr>
      <w:r w:rsidRPr="005105ED">
        <w:rPr>
          <w:rFonts w:eastAsia="Calibri"/>
          <w:b/>
          <w:color w:val="000000"/>
        </w:rPr>
        <w:t>Gift Acceptance Policy</w:t>
      </w:r>
    </w:p>
    <w:p w14:paraId="2F5FE7E4" w14:textId="195614DE" w:rsidR="0034713A" w:rsidRDefault="002E4056">
      <w:pPr>
        <w:jc w:val="center"/>
      </w:pPr>
      <w:r>
        <w:t>PR</w:t>
      </w:r>
      <w:r w:rsidR="0034713A">
        <w:t xml:space="preserve"> #</w:t>
      </w:r>
      <w:r w:rsidR="000A561B">
        <w:t>03</w:t>
      </w:r>
      <w:r w:rsidR="0034713A">
        <w:t>.00.</w:t>
      </w:r>
      <w:r w:rsidR="000A561B">
        <w:t>03</w:t>
      </w:r>
    </w:p>
    <w:p w14:paraId="161FF699" w14:textId="77777777" w:rsidR="000A561B" w:rsidRDefault="000A561B" w:rsidP="000A561B">
      <w:pPr>
        <w:widowControl/>
        <w:rPr>
          <w:rFonts w:eastAsia="Calibri"/>
          <w:b/>
          <w:color w:val="000000"/>
          <w:u w:val="single"/>
        </w:rPr>
      </w:pPr>
    </w:p>
    <w:p w14:paraId="43464C7E" w14:textId="77777777" w:rsidR="000A561B" w:rsidRDefault="000A561B" w:rsidP="000A561B">
      <w:pPr>
        <w:widowControl/>
        <w:rPr>
          <w:rFonts w:eastAsia="Calibri"/>
          <w:b/>
          <w:color w:val="000000"/>
          <w:u w:val="single"/>
        </w:rPr>
      </w:pPr>
    </w:p>
    <w:p w14:paraId="340BADF4" w14:textId="6344037A" w:rsidR="000A561B" w:rsidRPr="000A561B" w:rsidRDefault="000A561B" w:rsidP="000A561B">
      <w:pPr>
        <w:widowControl/>
        <w:rPr>
          <w:rFonts w:eastAsia="Calibri"/>
          <w:b/>
          <w:color w:val="000000"/>
        </w:rPr>
      </w:pPr>
      <w:r w:rsidRPr="00782972">
        <w:rPr>
          <w:rFonts w:eastAsia="Calibri"/>
          <w:b/>
          <w:color w:val="000000"/>
        </w:rPr>
        <w:t>Authority</w:t>
      </w:r>
      <w:r>
        <w:rPr>
          <w:rFonts w:eastAsia="Calibri"/>
          <w:b/>
          <w:color w:val="000000"/>
        </w:rPr>
        <w:t>:</w:t>
      </w:r>
      <w:r w:rsidRPr="000A561B">
        <w:rPr>
          <w:rFonts w:eastAsia="Calibri"/>
          <w:b/>
          <w:color w:val="000000"/>
        </w:rPr>
        <w:t xml:space="preserve"> </w:t>
      </w:r>
      <w:r w:rsidRPr="000A561B">
        <w:rPr>
          <w:rFonts w:eastAsia="Calibri"/>
          <w:bCs/>
          <w:color w:val="000000"/>
        </w:rPr>
        <w:t>Chancellor</w:t>
      </w:r>
    </w:p>
    <w:p w14:paraId="3F1D3B76" w14:textId="77777777" w:rsidR="000A561B" w:rsidRPr="000A561B" w:rsidRDefault="000A561B" w:rsidP="000A561B">
      <w:pPr>
        <w:widowControl/>
        <w:rPr>
          <w:rFonts w:eastAsia="Calibri"/>
          <w:b/>
          <w:color w:val="000000"/>
        </w:rPr>
      </w:pPr>
    </w:p>
    <w:p w14:paraId="5F7F0531" w14:textId="39653760" w:rsidR="000A561B" w:rsidRPr="00F00ECF" w:rsidRDefault="000A561B" w:rsidP="000A561B">
      <w:pPr>
        <w:widowControl/>
        <w:rPr>
          <w:rFonts w:eastAsia="Calibri"/>
          <w:bCs/>
          <w:color w:val="000000"/>
        </w:rPr>
      </w:pPr>
      <w:r w:rsidRPr="00782972">
        <w:rPr>
          <w:rFonts w:eastAsia="Calibri"/>
          <w:b/>
          <w:color w:val="000000"/>
        </w:rPr>
        <w:t>History</w:t>
      </w:r>
      <w:r w:rsidRPr="000A561B">
        <w:rPr>
          <w:rFonts w:eastAsia="Calibri"/>
          <w:b/>
          <w:color w:val="000000"/>
        </w:rPr>
        <w:t xml:space="preserve">: </w:t>
      </w:r>
      <w:r w:rsidRPr="000A561B">
        <w:rPr>
          <w:rFonts w:eastAsia="Calibri"/>
          <w:bCs/>
          <w:color w:val="000000"/>
        </w:rPr>
        <w:t>First Issued:</w:t>
      </w:r>
      <w:r w:rsidRPr="000A561B">
        <w:rPr>
          <w:rFonts w:eastAsia="Calibri"/>
          <w:b/>
          <w:color w:val="000000"/>
        </w:rPr>
        <w:t xml:space="preserve"> </w:t>
      </w:r>
      <w:bookmarkStart w:id="0" w:name="_GoBack"/>
      <w:r w:rsidR="00F00ECF">
        <w:rPr>
          <w:rFonts w:eastAsia="Calibri"/>
          <w:bCs/>
          <w:color w:val="000000"/>
        </w:rPr>
        <w:t>February 5, 2020</w:t>
      </w:r>
      <w:bookmarkEnd w:id="0"/>
    </w:p>
    <w:p w14:paraId="26F71526" w14:textId="77777777" w:rsidR="000A561B" w:rsidRPr="000A561B" w:rsidRDefault="000A561B" w:rsidP="000A561B">
      <w:pPr>
        <w:widowControl/>
        <w:rPr>
          <w:rFonts w:eastAsia="Calibri"/>
          <w:b/>
          <w:color w:val="000000"/>
        </w:rPr>
      </w:pPr>
    </w:p>
    <w:p w14:paraId="6F83814A" w14:textId="77777777" w:rsidR="000A561B" w:rsidRDefault="000A561B" w:rsidP="000A561B">
      <w:pPr>
        <w:widowControl/>
        <w:rPr>
          <w:rFonts w:eastAsia="Calibri"/>
          <w:b/>
          <w:color w:val="000000"/>
        </w:rPr>
      </w:pPr>
      <w:r w:rsidRPr="00782972">
        <w:rPr>
          <w:rFonts w:eastAsia="Calibri"/>
          <w:b/>
          <w:color w:val="000000"/>
        </w:rPr>
        <w:t>Related Policies</w:t>
      </w:r>
      <w:r w:rsidRPr="000A561B">
        <w:rPr>
          <w:rFonts w:eastAsia="Calibri"/>
          <w:b/>
          <w:color w:val="000000"/>
        </w:rPr>
        <w:t xml:space="preserve">: </w:t>
      </w:r>
    </w:p>
    <w:p w14:paraId="6FF31F4E" w14:textId="3BCE2C3A" w:rsidR="000A561B" w:rsidRPr="000A561B" w:rsidRDefault="00F00ECF" w:rsidP="000A561B">
      <w:pPr>
        <w:pStyle w:val="ListParagraph"/>
        <w:widowControl/>
        <w:numPr>
          <w:ilvl w:val="0"/>
          <w:numId w:val="9"/>
        </w:numPr>
        <w:rPr>
          <w:rFonts w:eastAsia="Calibri"/>
          <w:bCs/>
          <w:color w:val="000000"/>
        </w:rPr>
      </w:pPr>
      <w:hyperlink r:id="rId11" w:history="1">
        <w:r w:rsidR="000A561B" w:rsidRPr="000A561B">
          <w:rPr>
            <w:rStyle w:val="Hyperlink"/>
            <w:rFonts w:eastAsia="Calibri"/>
            <w:bCs/>
          </w:rPr>
          <w:t>UNCP POL 03.00.01 – Facility and Program Naming Policy</w:t>
        </w:r>
      </w:hyperlink>
      <w:r w:rsidR="000A561B" w:rsidRPr="000A561B">
        <w:rPr>
          <w:rFonts w:eastAsia="Calibri"/>
          <w:bCs/>
          <w:color w:val="000000"/>
        </w:rPr>
        <w:t xml:space="preserve"> </w:t>
      </w:r>
    </w:p>
    <w:p w14:paraId="5D04DEA2" w14:textId="14C75C77" w:rsidR="000A561B" w:rsidRPr="00782972" w:rsidRDefault="00F00ECF" w:rsidP="000A561B">
      <w:pPr>
        <w:pStyle w:val="ListParagraph"/>
        <w:widowControl/>
        <w:numPr>
          <w:ilvl w:val="0"/>
          <w:numId w:val="9"/>
        </w:numPr>
        <w:rPr>
          <w:rStyle w:val="Hyperlink"/>
          <w:rFonts w:eastAsia="Calibri"/>
          <w:color w:val="000000"/>
          <w:u w:val="none"/>
        </w:rPr>
      </w:pPr>
      <w:hyperlink r:id="rId12" w:history="1">
        <w:r w:rsidR="000A561B" w:rsidRPr="000A561B">
          <w:rPr>
            <w:rStyle w:val="Hyperlink"/>
            <w:rFonts w:eastAsia="Calibri"/>
            <w:bCs/>
          </w:rPr>
          <w:t>UNC Policy Manual 600.2.5.2 [R] – Required Elements of University Associated Entity Relationship</w:t>
        </w:r>
      </w:hyperlink>
    </w:p>
    <w:p w14:paraId="3F32FD19" w14:textId="0F261F12" w:rsidR="006B71E1" w:rsidRPr="000A561B" w:rsidRDefault="003D0ABE" w:rsidP="000A561B">
      <w:pPr>
        <w:pStyle w:val="ListParagraph"/>
        <w:widowControl/>
        <w:numPr>
          <w:ilvl w:val="0"/>
          <w:numId w:val="9"/>
        </w:numPr>
        <w:rPr>
          <w:rFonts w:eastAsia="Calibri"/>
          <w:bCs/>
          <w:color w:val="000000"/>
        </w:rPr>
      </w:pPr>
      <w:r>
        <w:rPr>
          <w:rStyle w:val="Hyperlink"/>
          <w:rFonts w:eastAsia="Calibri"/>
          <w:bCs/>
        </w:rPr>
        <w:t>UNC Policy Manual 600.1.1</w:t>
      </w:r>
    </w:p>
    <w:p w14:paraId="7345D296" w14:textId="77777777" w:rsidR="000A561B" w:rsidRDefault="000A561B" w:rsidP="000A561B">
      <w:pPr>
        <w:widowControl/>
        <w:rPr>
          <w:rFonts w:eastAsia="Calibri"/>
          <w:bCs/>
          <w:color w:val="000000"/>
        </w:rPr>
      </w:pPr>
      <w:r w:rsidRPr="00782972">
        <w:rPr>
          <w:rFonts w:eastAsia="Calibri"/>
          <w:b/>
          <w:color w:val="000000"/>
        </w:rPr>
        <w:t>Additional References</w:t>
      </w:r>
      <w:r w:rsidRPr="000A561B">
        <w:rPr>
          <w:rFonts w:eastAsia="Calibri"/>
          <w:bCs/>
          <w:color w:val="000000"/>
        </w:rPr>
        <w:t xml:space="preserve">:  </w:t>
      </w:r>
    </w:p>
    <w:p w14:paraId="1EDDCAE4" w14:textId="4482A3FF" w:rsidR="000A561B" w:rsidRPr="00782972" w:rsidRDefault="00F00ECF" w:rsidP="000A561B">
      <w:pPr>
        <w:pStyle w:val="ListParagraph"/>
        <w:widowControl/>
        <w:numPr>
          <w:ilvl w:val="0"/>
          <w:numId w:val="10"/>
        </w:numPr>
        <w:rPr>
          <w:rStyle w:val="Hyperlink"/>
          <w:rFonts w:eastAsia="Calibri"/>
          <w:color w:val="000000"/>
          <w:u w:val="none"/>
        </w:rPr>
      </w:pPr>
      <w:hyperlink r:id="rId13" w:history="1">
        <w:r w:rsidR="000A561B" w:rsidRPr="000A561B">
          <w:rPr>
            <w:rStyle w:val="Hyperlink"/>
            <w:rFonts w:eastAsia="Calibri"/>
            <w:bCs/>
          </w:rPr>
          <w:t>Internal Revenue Service – Exemption Requirements: 501 (c)(3)</w:t>
        </w:r>
      </w:hyperlink>
    </w:p>
    <w:p w14:paraId="62DA38CA" w14:textId="60AC4FFB" w:rsidR="003D0ABE" w:rsidRPr="000A561B" w:rsidRDefault="003D0ABE" w:rsidP="000A561B">
      <w:pPr>
        <w:pStyle w:val="ListParagraph"/>
        <w:widowControl/>
        <w:numPr>
          <w:ilvl w:val="0"/>
          <w:numId w:val="10"/>
        </w:numPr>
        <w:rPr>
          <w:rFonts w:eastAsia="Calibri"/>
          <w:bCs/>
          <w:color w:val="000000"/>
        </w:rPr>
      </w:pPr>
      <w:r>
        <w:rPr>
          <w:rStyle w:val="Hyperlink"/>
          <w:rFonts w:eastAsia="Calibri"/>
          <w:bCs/>
        </w:rPr>
        <w:t xml:space="preserve">NCGS </w:t>
      </w:r>
      <w:r w:rsidR="00ED17B2">
        <w:rPr>
          <w:rStyle w:val="Hyperlink"/>
          <w:rFonts w:eastAsia="Calibri"/>
          <w:bCs/>
        </w:rPr>
        <w:t>Section 116-36</w:t>
      </w:r>
    </w:p>
    <w:p w14:paraId="3DBD3EBB" w14:textId="77777777" w:rsidR="000A561B" w:rsidRPr="000A561B" w:rsidRDefault="000A561B" w:rsidP="000A561B">
      <w:pPr>
        <w:widowControl/>
        <w:rPr>
          <w:rFonts w:eastAsia="Calibri"/>
          <w:b/>
          <w:color w:val="000000"/>
        </w:rPr>
      </w:pPr>
    </w:p>
    <w:p w14:paraId="201C64BA" w14:textId="54451D38" w:rsidR="000A561B" w:rsidRPr="000A561B" w:rsidRDefault="000A561B" w:rsidP="000A561B">
      <w:pPr>
        <w:widowControl/>
        <w:rPr>
          <w:rFonts w:eastAsia="Calibri"/>
          <w:b/>
          <w:color w:val="000000"/>
        </w:rPr>
      </w:pPr>
      <w:r w:rsidRPr="00782972">
        <w:rPr>
          <w:rFonts w:eastAsia="Calibri"/>
          <w:b/>
          <w:color w:val="000000"/>
        </w:rPr>
        <w:t>Contact Info</w:t>
      </w:r>
      <w:r w:rsidRPr="000A561B">
        <w:rPr>
          <w:rFonts w:eastAsia="Calibri"/>
          <w:b/>
          <w:color w:val="000000"/>
        </w:rPr>
        <w:t xml:space="preserve">: </w:t>
      </w:r>
      <w:r w:rsidRPr="000A561B">
        <w:rPr>
          <w:rFonts w:eastAsia="Calibri"/>
          <w:bCs/>
          <w:color w:val="000000"/>
        </w:rPr>
        <w:t>Vice Chancellor of Advancement, Office of Advancement 910.521.6184</w:t>
      </w:r>
    </w:p>
    <w:p w14:paraId="0B7095DB" w14:textId="7931BB50" w:rsidR="000A561B" w:rsidRDefault="000A561B" w:rsidP="000A561B">
      <w:pPr>
        <w:widowControl/>
        <w:rPr>
          <w:rFonts w:eastAsia="Calibri"/>
          <w:b/>
          <w:color w:val="000000"/>
        </w:rPr>
      </w:pPr>
    </w:p>
    <w:p w14:paraId="03EBD438" w14:textId="0939080B" w:rsidR="000A561B" w:rsidRDefault="000A561B" w:rsidP="005105ED">
      <w:pPr>
        <w:widowControl/>
        <w:jc w:val="center"/>
        <w:rPr>
          <w:rFonts w:eastAsia="Calibri"/>
          <w:b/>
          <w:color w:val="000000"/>
        </w:rPr>
      </w:pPr>
    </w:p>
    <w:p w14:paraId="664E1F9B" w14:textId="3C24F740" w:rsidR="00324380" w:rsidRPr="00A969CE" w:rsidRDefault="00324380" w:rsidP="00324380">
      <w:pPr>
        <w:widowControl/>
        <w:rPr>
          <w:rFonts w:eastAsia="Calibri"/>
          <w:b/>
          <w:bCs/>
          <w:caps/>
          <w:color w:val="000000"/>
        </w:rPr>
      </w:pPr>
      <w:r w:rsidRPr="00A969CE">
        <w:rPr>
          <w:rFonts w:eastAsia="Calibri"/>
          <w:b/>
          <w:bCs/>
          <w:caps/>
          <w:color w:val="000000"/>
        </w:rPr>
        <w:t xml:space="preserve">1. </w:t>
      </w:r>
      <w:r w:rsidR="00383B16">
        <w:rPr>
          <w:rFonts w:eastAsia="Calibri"/>
          <w:b/>
          <w:bCs/>
          <w:caps/>
          <w:color w:val="000000"/>
        </w:rPr>
        <w:t>Purpose</w:t>
      </w:r>
      <w:r w:rsidR="00383B16" w:rsidRPr="00A969CE">
        <w:rPr>
          <w:rFonts w:eastAsia="Calibri"/>
          <w:b/>
          <w:bCs/>
          <w:caps/>
          <w:color w:val="000000"/>
        </w:rPr>
        <w:t xml:space="preserve"> </w:t>
      </w:r>
    </w:p>
    <w:p w14:paraId="5E1F7DF5" w14:textId="77777777" w:rsidR="00324380" w:rsidRDefault="00324380" w:rsidP="00285732">
      <w:pPr>
        <w:widowControl/>
        <w:rPr>
          <w:rFonts w:eastAsia="Calibri"/>
          <w:color w:val="000000"/>
        </w:rPr>
      </w:pPr>
    </w:p>
    <w:p w14:paraId="79301B7C" w14:textId="1E870641" w:rsidR="00383B16" w:rsidRDefault="00CF30D1" w:rsidP="00B14AFC">
      <w:pPr>
        <w:widowControl/>
        <w:jc w:val="both"/>
        <w:rPr>
          <w:color w:val="000000"/>
          <w:lang w:val="en"/>
        </w:rPr>
      </w:pPr>
      <w:r>
        <w:rPr>
          <w:rFonts w:eastAsia="Calibri"/>
          <w:color w:val="000000"/>
        </w:rPr>
        <w:t xml:space="preserve">1.1 </w:t>
      </w:r>
      <w:r w:rsidR="00383B16" w:rsidRPr="00A969CE">
        <w:rPr>
          <w:color w:val="000000"/>
          <w:lang w:val="en"/>
        </w:rPr>
        <w:t xml:space="preserve">The </w:t>
      </w:r>
      <w:r w:rsidR="00CB2B6D">
        <w:rPr>
          <w:color w:val="000000"/>
          <w:lang w:val="en"/>
        </w:rPr>
        <w:t>U</w:t>
      </w:r>
      <w:r w:rsidR="00383B16" w:rsidRPr="00A969CE">
        <w:rPr>
          <w:color w:val="000000"/>
          <w:lang w:val="en"/>
        </w:rPr>
        <w:t>niversity actively encourages the solicitation and acceptance of private gifts from individuals, corporations, foundations and associations that enable it</w:t>
      </w:r>
      <w:r w:rsidR="00DA0AA8">
        <w:rPr>
          <w:color w:val="000000"/>
          <w:lang w:val="en"/>
        </w:rPr>
        <w:t xml:space="preserve"> to</w:t>
      </w:r>
      <w:r w:rsidR="00383B16" w:rsidRPr="00A969CE">
        <w:rPr>
          <w:color w:val="000000"/>
          <w:lang w:val="en"/>
        </w:rPr>
        <w:t xml:space="preserve"> </w:t>
      </w:r>
      <w:r w:rsidR="00665313">
        <w:rPr>
          <w:color w:val="000000"/>
          <w:lang w:val="en"/>
        </w:rPr>
        <w:t>advance</w:t>
      </w:r>
      <w:r w:rsidR="00383B16" w:rsidRPr="00A969CE">
        <w:rPr>
          <w:color w:val="000000"/>
          <w:lang w:val="en"/>
        </w:rPr>
        <w:t xml:space="preserve"> its mission of teaching, research, extension, and engagement. This </w:t>
      </w:r>
      <w:r w:rsidR="000A561B">
        <w:rPr>
          <w:color w:val="000000"/>
          <w:lang w:val="en"/>
        </w:rPr>
        <w:t>P</w:t>
      </w:r>
      <w:r w:rsidR="00383B16" w:rsidRPr="00A969CE">
        <w:rPr>
          <w:color w:val="000000"/>
          <w:lang w:val="en"/>
        </w:rPr>
        <w:t xml:space="preserve">olicy is intended: (a) to provide guidance to </w:t>
      </w:r>
      <w:r w:rsidR="000A561B">
        <w:rPr>
          <w:color w:val="000000"/>
          <w:lang w:val="en"/>
        </w:rPr>
        <w:t>T</w:t>
      </w:r>
      <w:r w:rsidR="00383B16" w:rsidRPr="00A969CE">
        <w:rPr>
          <w:color w:val="000000"/>
          <w:lang w:val="en"/>
        </w:rPr>
        <w:t xml:space="preserve">he </w:t>
      </w:r>
      <w:r w:rsidR="000A561B" w:rsidRPr="00A969CE">
        <w:rPr>
          <w:color w:val="000000"/>
          <w:lang w:val="en"/>
        </w:rPr>
        <w:t xml:space="preserve">University of North Carolina at Pembroke </w:t>
      </w:r>
      <w:r w:rsidR="000A561B">
        <w:rPr>
          <w:color w:val="000000"/>
          <w:lang w:val="en"/>
        </w:rPr>
        <w:t>(</w:t>
      </w:r>
      <w:r w:rsidR="00383B16" w:rsidRPr="00A969CE">
        <w:rPr>
          <w:color w:val="000000"/>
          <w:lang w:val="en"/>
        </w:rPr>
        <w:t>UNCP</w:t>
      </w:r>
      <w:r w:rsidR="000A561B">
        <w:rPr>
          <w:color w:val="000000"/>
          <w:lang w:val="en"/>
        </w:rPr>
        <w:t>)</w:t>
      </w:r>
      <w:r w:rsidR="00383B16" w:rsidRPr="00A969CE">
        <w:rPr>
          <w:color w:val="000000"/>
          <w:lang w:val="en"/>
        </w:rPr>
        <w:t xml:space="preserve"> community and the general public regarding the acceptance of gifts; (b) to ensure that private gifts to the </w:t>
      </w:r>
      <w:r w:rsidR="000A561B">
        <w:rPr>
          <w:color w:val="000000"/>
          <w:lang w:val="en"/>
        </w:rPr>
        <w:t xml:space="preserve">UNCP </w:t>
      </w:r>
      <w:r w:rsidR="00383B16" w:rsidRPr="00A969CE">
        <w:rPr>
          <w:color w:val="000000"/>
          <w:lang w:val="en"/>
        </w:rPr>
        <w:t xml:space="preserve">are properly recorded and administered using appropriate internal controls and sound financial business practices; and (c) to ensure that the acceptance, management, and reporting of gifts are handled in compliance with external regulations, national standards, and the </w:t>
      </w:r>
      <w:r w:rsidR="000A561B">
        <w:rPr>
          <w:color w:val="000000"/>
          <w:lang w:val="en"/>
        </w:rPr>
        <w:t>U</w:t>
      </w:r>
      <w:r w:rsidR="00383B16" w:rsidRPr="00A969CE">
        <w:rPr>
          <w:color w:val="000000"/>
          <w:lang w:val="en"/>
        </w:rPr>
        <w:t>niversity’s fiduciary obligations to donors.</w:t>
      </w:r>
    </w:p>
    <w:p w14:paraId="459B4B13" w14:textId="77777777" w:rsidR="00383B16" w:rsidRDefault="00383B16" w:rsidP="00782972">
      <w:pPr>
        <w:widowControl/>
        <w:ind w:left="420"/>
        <w:jc w:val="both"/>
        <w:rPr>
          <w:rFonts w:eastAsia="Calibri"/>
          <w:color w:val="000000"/>
        </w:rPr>
      </w:pPr>
    </w:p>
    <w:p w14:paraId="719BE873" w14:textId="6BEBE66F" w:rsidR="00285732" w:rsidRPr="00A969CE" w:rsidRDefault="00CF30D1" w:rsidP="00B14AFC">
      <w:pPr>
        <w:widowControl/>
        <w:jc w:val="both"/>
        <w:rPr>
          <w:rFonts w:eastAsia="Calibri"/>
          <w:color w:val="000000"/>
        </w:rPr>
      </w:pPr>
      <w:r w:rsidRPr="00B14AFC">
        <w:rPr>
          <w:rFonts w:eastAsia="Calibri"/>
          <w:color w:val="000000"/>
        </w:rPr>
        <w:t>1.</w:t>
      </w:r>
      <w:r>
        <w:rPr>
          <w:rFonts w:eastAsia="Calibri"/>
          <w:color w:val="000000"/>
        </w:rPr>
        <w:t xml:space="preserve">2 </w:t>
      </w:r>
      <w:r w:rsidR="00285732" w:rsidRPr="00A969CE">
        <w:rPr>
          <w:rFonts w:eastAsia="Calibri"/>
          <w:color w:val="000000"/>
        </w:rPr>
        <w:t xml:space="preserve">This document sets forth the </w:t>
      </w:r>
      <w:r w:rsidR="000A561B">
        <w:rPr>
          <w:rFonts w:eastAsia="Calibri"/>
          <w:color w:val="000000"/>
        </w:rPr>
        <w:t>U</w:t>
      </w:r>
      <w:r w:rsidR="000A561B" w:rsidRPr="00A969CE">
        <w:rPr>
          <w:rFonts w:eastAsia="Calibri"/>
          <w:color w:val="000000"/>
        </w:rPr>
        <w:t xml:space="preserve">niversity’s </w:t>
      </w:r>
      <w:r w:rsidR="00285732" w:rsidRPr="00A969CE">
        <w:rPr>
          <w:rFonts w:eastAsia="Calibri"/>
          <w:color w:val="000000"/>
        </w:rPr>
        <w:t xml:space="preserve">procedures for acceptance of gifts received by </w:t>
      </w:r>
      <w:r w:rsidR="00782972" w:rsidRPr="00A969CE">
        <w:rPr>
          <w:rFonts w:eastAsia="Calibri"/>
          <w:color w:val="000000"/>
        </w:rPr>
        <w:t>the</w:t>
      </w:r>
      <w:r w:rsidR="00782972">
        <w:rPr>
          <w:rFonts w:eastAsia="Calibri"/>
          <w:color w:val="000000"/>
        </w:rPr>
        <w:t xml:space="preserve"> university</w:t>
      </w:r>
      <w:r w:rsidR="00285732" w:rsidRPr="00A969CE">
        <w:rPr>
          <w:rFonts w:eastAsia="Calibri"/>
          <w:color w:val="000000"/>
        </w:rPr>
        <w:t xml:space="preserve">. All employees of UNCP must adhere to the following procedures pertaining to the proper processing of private donations. Failure to do so may subject the employee to disciplinary action, up to and including dismissal, and/or personal liability. </w:t>
      </w:r>
    </w:p>
    <w:p w14:paraId="053167BC" w14:textId="77777777" w:rsidR="00285732" w:rsidRPr="00A969CE" w:rsidRDefault="00285732" w:rsidP="00621A43">
      <w:pPr>
        <w:widowControl/>
        <w:jc w:val="both"/>
        <w:rPr>
          <w:rFonts w:eastAsia="Calibri"/>
          <w:color w:val="000000"/>
        </w:rPr>
      </w:pPr>
    </w:p>
    <w:p w14:paraId="536556C3" w14:textId="72552477" w:rsidR="00285732" w:rsidRPr="00A969CE" w:rsidRDefault="00285732" w:rsidP="00621A43">
      <w:pPr>
        <w:widowControl/>
        <w:jc w:val="both"/>
        <w:rPr>
          <w:rFonts w:eastAsia="Calibri"/>
          <w:color w:val="000000"/>
        </w:rPr>
      </w:pPr>
      <w:r w:rsidRPr="00A969CE">
        <w:rPr>
          <w:rFonts w:eastAsia="Calibri"/>
          <w:color w:val="000000"/>
        </w:rPr>
        <w:t>1.</w:t>
      </w:r>
      <w:r w:rsidR="00383B16">
        <w:rPr>
          <w:rFonts w:eastAsia="Calibri"/>
          <w:color w:val="000000"/>
        </w:rPr>
        <w:t>3</w:t>
      </w:r>
      <w:r w:rsidRPr="00A969CE">
        <w:rPr>
          <w:rFonts w:eastAsia="Calibri"/>
          <w:color w:val="000000"/>
        </w:rPr>
        <w:t xml:space="preserve"> This document does not apply to sponsored contracts, grants and cooperative agreements for research purposes. </w:t>
      </w:r>
    </w:p>
    <w:p w14:paraId="71BE4AE8" w14:textId="77777777" w:rsidR="00285732" w:rsidRPr="00A969CE" w:rsidRDefault="00285732" w:rsidP="00621A43">
      <w:pPr>
        <w:widowControl/>
        <w:autoSpaceDE/>
        <w:autoSpaceDN/>
        <w:adjustRightInd/>
        <w:jc w:val="both"/>
        <w:rPr>
          <w:bCs/>
          <w:color w:val="000000"/>
          <w:lang w:val="en"/>
        </w:rPr>
      </w:pPr>
    </w:p>
    <w:p w14:paraId="2C4C9ED8" w14:textId="5AB85938" w:rsidR="00383B16" w:rsidRPr="00A969CE" w:rsidRDefault="00383B16" w:rsidP="00782972">
      <w:pPr>
        <w:widowControl/>
        <w:autoSpaceDE/>
        <w:autoSpaceDN/>
        <w:adjustRightInd/>
        <w:jc w:val="both"/>
        <w:rPr>
          <w:b/>
          <w:bCs/>
          <w:color w:val="000000"/>
          <w:lang w:val="en"/>
        </w:rPr>
      </w:pPr>
      <w:r>
        <w:rPr>
          <w:b/>
          <w:bCs/>
          <w:color w:val="000000"/>
          <w:lang w:val="en"/>
        </w:rPr>
        <w:t>2</w:t>
      </w:r>
      <w:r w:rsidRPr="00A969CE">
        <w:rPr>
          <w:b/>
          <w:bCs/>
          <w:color w:val="000000"/>
          <w:lang w:val="en"/>
        </w:rPr>
        <w:t>. COORDINATION OF FUNDRAISING ACTIVITIES</w:t>
      </w:r>
    </w:p>
    <w:p w14:paraId="127681FD" w14:textId="77777777" w:rsidR="00383B16" w:rsidRPr="005105ED" w:rsidRDefault="00383B16" w:rsidP="00782972">
      <w:pPr>
        <w:widowControl/>
        <w:autoSpaceDE/>
        <w:autoSpaceDN/>
        <w:adjustRightInd/>
        <w:ind w:left="420"/>
        <w:jc w:val="both"/>
        <w:rPr>
          <w:color w:val="000000"/>
          <w:lang w:val="en"/>
        </w:rPr>
      </w:pPr>
    </w:p>
    <w:p w14:paraId="67657F41" w14:textId="6D43AFA7" w:rsidR="00383B16" w:rsidRDefault="00383B16" w:rsidP="00782972">
      <w:pPr>
        <w:pStyle w:val="Default"/>
        <w:jc w:val="both"/>
        <w:rPr>
          <w:lang w:val="en"/>
        </w:rPr>
      </w:pPr>
      <w:r>
        <w:rPr>
          <w:lang w:val="en"/>
        </w:rPr>
        <w:t>2</w:t>
      </w:r>
      <w:r w:rsidRPr="005105ED">
        <w:rPr>
          <w:lang w:val="en"/>
        </w:rPr>
        <w:t xml:space="preserve">.1 </w:t>
      </w:r>
      <w:r w:rsidRPr="00A969CE">
        <w:t xml:space="preserve">The </w:t>
      </w:r>
      <w:r>
        <w:t xml:space="preserve">UNCP </w:t>
      </w:r>
      <w:r w:rsidRPr="00A969CE">
        <w:t xml:space="preserve">Office </w:t>
      </w:r>
      <w:r>
        <w:t xml:space="preserve">of </w:t>
      </w:r>
      <w:r w:rsidRPr="00A969CE">
        <w:t xml:space="preserve">Advancement is charged by the </w:t>
      </w:r>
      <w:r>
        <w:t>chancellor</w:t>
      </w:r>
      <w:r w:rsidRPr="00A969CE">
        <w:t xml:space="preserve"> to increase private giving in support of the </w:t>
      </w:r>
      <w:r w:rsidR="000A561B">
        <w:t>U</w:t>
      </w:r>
      <w:r w:rsidRPr="00A969CE">
        <w:t>niversity’s missions, to collect and maintain donor information on all gifts, and to provide donors with the appropriate receipt for income tax filing purposes.</w:t>
      </w:r>
    </w:p>
    <w:p w14:paraId="3BCFD13B" w14:textId="77777777" w:rsidR="00383B16" w:rsidRDefault="00383B16" w:rsidP="00383B16">
      <w:pPr>
        <w:pStyle w:val="Default"/>
        <w:ind w:left="420"/>
        <w:jc w:val="both"/>
      </w:pPr>
    </w:p>
    <w:p w14:paraId="2E9A9E80" w14:textId="58B6929A" w:rsidR="00383B16" w:rsidRPr="005105ED" w:rsidRDefault="00383B16" w:rsidP="00782972">
      <w:pPr>
        <w:pStyle w:val="Default"/>
        <w:jc w:val="both"/>
      </w:pPr>
      <w:r>
        <w:t xml:space="preserve">2.2 </w:t>
      </w:r>
      <w:r w:rsidRPr="005105ED">
        <w:t xml:space="preserve">UNCP recognizes the vital importance of private support. Gifts of real and personal property often allow us to accomplish objectives that would otherwise be impossible due to absence or shortage of resources. University employees or groups who wish to solicit contributions are encouraged to do </w:t>
      </w:r>
      <w:r w:rsidR="000A561B" w:rsidRPr="005105ED">
        <w:t>so but</w:t>
      </w:r>
      <w:r w:rsidRPr="005105ED">
        <w:t xml:space="preserve"> must receive written approval from the Office of Advancement prior to </w:t>
      </w:r>
      <w:r w:rsidRPr="005105ED">
        <w:lastRenderedPageBreak/>
        <w:t xml:space="preserve">any solicitation of non-governmental or in-kind gifts. This includes the solicitation of alumni, friends, organizations, businesses, corporations, or private foundations for any University-related purpose or establishment, whether pending or currently in existence. Sponsorships are also covered by this policy. </w:t>
      </w:r>
    </w:p>
    <w:p w14:paraId="7CBF54B6" w14:textId="77777777" w:rsidR="00383B16" w:rsidRPr="005105ED" w:rsidRDefault="00383B16" w:rsidP="00782972">
      <w:pPr>
        <w:pStyle w:val="Default"/>
        <w:ind w:left="420"/>
        <w:jc w:val="both"/>
      </w:pPr>
    </w:p>
    <w:p w14:paraId="5321BD82" w14:textId="77777777" w:rsidR="00383B16" w:rsidRDefault="00383B16" w:rsidP="00782972">
      <w:pPr>
        <w:pStyle w:val="Default"/>
        <w:jc w:val="both"/>
      </w:pPr>
      <w:r>
        <w:t xml:space="preserve">2.3 </w:t>
      </w:r>
      <w:r w:rsidRPr="005105ED">
        <w:t xml:space="preserve">The coordination of solicitations through the Office of Advancement is necessary to avoid duplicate solicitations, to protect donor confidentiality, to prevent over-solicitation of specific major donor prospects and companies, to ensure state funds and property are not misused, and to be certain </w:t>
      </w:r>
      <w:r w:rsidR="00814F2C" w:rsidRPr="005105ED">
        <w:t>UNCP remains within its legal bounds in all fundraising and solicitation efforts.</w:t>
      </w:r>
    </w:p>
    <w:p w14:paraId="506FF393" w14:textId="77777777" w:rsidR="00383B16" w:rsidRDefault="00383B16" w:rsidP="00383B16">
      <w:pPr>
        <w:pStyle w:val="Default"/>
        <w:ind w:left="420"/>
        <w:jc w:val="both"/>
      </w:pPr>
    </w:p>
    <w:p w14:paraId="71E035F3" w14:textId="77777777" w:rsidR="00383B16" w:rsidRDefault="00383B16" w:rsidP="00782972">
      <w:pPr>
        <w:widowControl/>
        <w:autoSpaceDE/>
        <w:autoSpaceDN/>
        <w:adjustRightInd/>
        <w:jc w:val="both"/>
        <w:rPr>
          <w:bCs/>
          <w:color w:val="000000"/>
          <w:lang w:val="en"/>
        </w:rPr>
      </w:pPr>
      <w:r>
        <w:t xml:space="preserve">2.4 </w:t>
      </w:r>
      <w:r w:rsidRPr="00A969CE">
        <w:rPr>
          <w:bCs/>
          <w:color w:val="000000"/>
          <w:lang w:val="en"/>
        </w:rPr>
        <w:t xml:space="preserve">The </w:t>
      </w:r>
      <w:r w:rsidRPr="005105ED">
        <w:rPr>
          <w:bCs/>
          <w:color w:val="000000"/>
          <w:lang w:val="en"/>
        </w:rPr>
        <w:t xml:space="preserve">Office of </w:t>
      </w:r>
      <w:r w:rsidRPr="00BF6595">
        <w:rPr>
          <w:bCs/>
          <w:color w:val="000000"/>
          <w:lang w:val="en"/>
        </w:rPr>
        <w:t>Advancement</w:t>
      </w:r>
      <w:r w:rsidRPr="00A969CE">
        <w:rPr>
          <w:bCs/>
          <w:color w:val="000000"/>
          <w:lang w:val="en"/>
        </w:rPr>
        <w:t xml:space="preserve"> maintains the official database of record for the storing of all gifts, pledges, and other data collected in support of Advancement activities. This information is deemed highly confidential and reflects what is referred to as “trade secrets” in the legal profession. Use of this information for any purpose other than the performance of required functions is prohibited. As such, access to this information is restricted to those individuals and offices that require such access in order to perform the</w:t>
      </w:r>
      <w:r>
        <w:rPr>
          <w:bCs/>
          <w:color w:val="000000"/>
          <w:lang w:val="en"/>
        </w:rPr>
        <w:t>ir</w:t>
      </w:r>
      <w:r w:rsidRPr="00A969CE">
        <w:rPr>
          <w:bCs/>
          <w:color w:val="000000"/>
          <w:lang w:val="en"/>
        </w:rPr>
        <w:t xml:space="preserve"> prescribed duties and responsibilities. Any individual or office outside the sphere of Advancement desiring access to any data maintained in this system must go through the </w:t>
      </w:r>
      <w:r>
        <w:rPr>
          <w:bCs/>
          <w:color w:val="000000"/>
          <w:lang w:val="en"/>
        </w:rPr>
        <w:t xml:space="preserve">UNCP </w:t>
      </w:r>
      <w:r w:rsidRPr="00A969CE">
        <w:rPr>
          <w:bCs/>
          <w:color w:val="000000"/>
          <w:lang w:val="en"/>
        </w:rPr>
        <w:t xml:space="preserve">Office </w:t>
      </w:r>
      <w:r>
        <w:rPr>
          <w:bCs/>
          <w:color w:val="000000"/>
          <w:lang w:val="en"/>
        </w:rPr>
        <w:t>of</w:t>
      </w:r>
      <w:r w:rsidRPr="00A969CE">
        <w:rPr>
          <w:bCs/>
          <w:color w:val="000000"/>
          <w:lang w:val="en"/>
        </w:rPr>
        <w:t xml:space="preserve"> Advancement for approval and forwarding of the request.</w:t>
      </w:r>
    </w:p>
    <w:p w14:paraId="4182AC87" w14:textId="77777777" w:rsidR="00383B16" w:rsidRPr="005105ED" w:rsidRDefault="00383B16" w:rsidP="00782972">
      <w:pPr>
        <w:pStyle w:val="Default"/>
        <w:ind w:left="420"/>
        <w:jc w:val="both"/>
      </w:pPr>
    </w:p>
    <w:p w14:paraId="4D219D9F" w14:textId="77777777" w:rsidR="00383B16" w:rsidRPr="005105ED" w:rsidRDefault="00383B16" w:rsidP="00782972">
      <w:pPr>
        <w:pStyle w:val="Default"/>
        <w:jc w:val="both"/>
      </w:pPr>
      <w:r>
        <w:t xml:space="preserve">2.5 </w:t>
      </w:r>
      <w:r w:rsidRPr="005105ED">
        <w:t>In soliciting and accepting gifts, accounting for funds received, and reporting fundraising totals, the Board, staff and volunteers of UNCP endeavor to enhance the well-being of UNCP and to treat all donors with respect and care. It is our mission to provide careful and professional stewardship for each donor and each gift.</w:t>
      </w:r>
    </w:p>
    <w:p w14:paraId="1DA8A9CA" w14:textId="77777777" w:rsidR="00383B16" w:rsidRDefault="00383B16" w:rsidP="00782972">
      <w:pPr>
        <w:widowControl/>
        <w:autoSpaceDE/>
        <w:autoSpaceDN/>
        <w:adjustRightInd/>
        <w:ind w:left="420"/>
        <w:jc w:val="both"/>
        <w:rPr>
          <w:bCs/>
          <w:color w:val="000000"/>
          <w:lang w:val="en"/>
        </w:rPr>
      </w:pPr>
    </w:p>
    <w:p w14:paraId="6A8679BB" w14:textId="77777777" w:rsidR="008F5B0A" w:rsidRPr="00A969CE" w:rsidRDefault="008F5B0A" w:rsidP="00621A43">
      <w:pPr>
        <w:widowControl/>
        <w:autoSpaceDE/>
        <w:autoSpaceDN/>
        <w:adjustRightInd/>
        <w:jc w:val="both"/>
        <w:rPr>
          <w:bCs/>
          <w:color w:val="000000"/>
          <w:lang w:val="en"/>
        </w:rPr>
      </w:pPr>
    </w:p>
    <w:p w14:paraId="43F8E27C" w14:textId="6F22FE60" w:rsidR="00285732" w:rsidRPr="00A969CE" w:rsidRDefault="00665313" w:rsidP="00621A43">
      <w:pPr>
        <w:widowControl/>
        <w:jc w:val="both"/>
        <w:rPr>
          <w:rFonts w:eastAsia="Calibri"/>
          <w:b/>
          <w:bCs/>
          <w:caps/>
          <w:color w:val="000000"/>
        </w:rPr>
      </w:pPr>
      <w:r>
        <w:rPr>
          <w:rFonts w:eastAsia="Calibri"/>
          <w:b/>
          <w:bCs/>
          <w:caps/>
          <w:color w:val="000000"/>
        </w:rPr>
        <w:t>3</w:t>
      </w:r>
      <w:r w:rsidR="00285732" w:rsidRPr="00A969CE">
        <w:rPr>
          <w:rFonts w:eastAsia="Calibri"/>
          <w:b/>
          <w:bCs/>
          <w:caps/>
          <w:color w:val="000000"/>
        </w:rPr>
        <w:t>. Definitions</w:t>
      </w:r>
    </w:p>
    <w:p w14:paraId="3E1589EF" w14:textId="77777777" w:rsidR="00285732" w:rsidRPr="00A969CE" w:rsidRDefault="00285732" w:rsidP="00621A43">
      <w:pPr>
        <w:widowControl/>
        <w:jc w:val="both"/>
        <w:rPr>
          <w:rFonts w:eastAsia="Calibri"/>
          <w:color w:val="000000"/>
        </w:rPr>
      </w:pPr>
    </w:p>
    <w:p w14:paraId="5B597C53" w14:textId="64D2C722" w:rsidR="00285732" w:rsidRPr="00A969CE" w:rsidRDefault="00814F2C" w:rsidP="00621A43">
      <w:pPr>
        <w:widowControl/>
        <w:jc w:val="both"/>
        <w:rPr>
          <w:rFonts w:eastAsia="Calibri"/>
          <w:color w:val="000000"/>
        </w:rPr>
      </w:pPr>
      <w:r>
        <w:rPr>
          <w:rFonts w:eastAsia="Calibri"/>
          <w:color w:val="000000"/>
        </w:rPr>
        <w:t>3</w:t>
      </w:r>
      <w:r w:rsidR="00285732" w:rsidRPr="00A969CE">
        <w:rPr>
          <w:rFonts w:eastAsia="Calibri"/>
          <w:color w:val="000000"/>
        </w:rPr>
        <w:t xml:space="preserve">.1 </w:t>
      </w:r>
      <w:r w:rsidRPr="00782972">
        <w:rPr>
          <w:rFonts w:eastAsia="Calibri"/>
          <w:b/>
          <w:color w:val="000000"/>
        </w:rPr>
        <w:t>Gift</w:t>
      </w:r>
      <w:r>
        <w:rPr>
          <w:rFonts w:eastAsia="Calibri"/>
          <w:color w:val="000000"/>
        </w:rPr>
        <w:t xml:space="preserve">. </w:t>
      </w:r>
      <w:r w:rsidR="00285732" w:rsidRPr="00A969CE">
        <w:rPr>
          <w:rFonts w:eastAsia="Calibri"/>
          <w:color w:val="000000"/>
        </w:rPr>
        <w:t xml:space="preserve">A </w:t>
      </w:r>
      <w:r w:rsidR="00285732" w:rsidRPr="00B14AFC">
        <w:rPr>
          <w:rFonts w:eastAsia="Calibri"/>
          <w:color w:val="000000"/>
        </w:rPr>
        <w:t>gift</w:t>
      </w:r>
      <w:r w:rsidR="00285732" w:rsidRPr="00A969CE">
        <w:rPr>
          <w:rFonts w:eastAsia="Calibri"/>
          <w:color w:val="000000"/>
        </w:rPr>
        <w:t xml:space="preserve"> is personal property (cash, securities, books, equipment, etc.) </w:t>
      </w:r>
      <w:r w:rsidR="00665313">
        <w:rPr>
          <w:rFonts w:eastAsia="Calibri"/>
          <w:color w:val="000000"/>
        </w:rPr>
        <w:t>or</w:t>
      </w:r>
      <w:r w:rsidR="00285732" w:rsidRPr="00A969CE">
        <w:rPr>
          <w:rFonts w:eastAsia="Calibri"/>
          <w:color w:val="000000"/>
        </w:rPr>
        <w:t xml:space="preserve"> real property provided by a</w:t>
      </w:r>
      <w:r w:rsidR="00665313">
        <w:rPr>
          <w:rFonts w:eastAsia="Calibri"/>
          <w:color w:val="000000"/>
        </w:rPr>
        <w:t xml:space="preserve"> non-governmental</w:t>
      </w:r>
      <w:r w:rsidR="00285732" w:rsidRPr="00A969CE">
        <w:rPr>
          <w:rFonts w:eastAsia="Calibri"/>
          <w:color w:val="000000"/>
        </w:rPr>
        <w:t xml:space="preserve"> donor without expectation of tangible economic (except tax) benefit. </w:t>
      </w:r>
      <w:r w:rsidR="000D300C">
        <w:rPr>
          <w:rFonts w:eastAsia="Calibri"/>
          <w:color w:val="000000"/>
        </w:rPr>
        <w:t xml:space="preserve">A gift may be outright or deferred. </w:t>
      </w:r>
      <w:r w:rsidR="00285732" w:rsidRPr="00A969CE">
        <w:rPr>
          <w:rFonts w:eastAsia="Calibri"/>
          <w:color w:val="000000"/>
        </w:rPr>
        <w:t>The transfer</w:t>
      </w:r>
      <w:r w:rsidR="000D300C">
        <w:rPr>
          <w:rFonts w:eastAsia="Calibri"/>
          <w:color w:val="000000"/>
        </w:rPr>
        <w:t xml:space="preserve"> of a gift</w:t>
      </w:r>
      <w:r w:rsidR="00285732" w:rsidRPr="00A969CE">
        <w:rPr>
          <w:rFonts w:eastAsia="Calibri"/>
          <w:color w:val="000000"/>
        </w:rPr>
        <w:t xml:space="preserve"> to the </w:t>
      </w:r>
      <w:r w:rsidR="00C21C7A">
        <w:rPr>
          <w:rFonts w:eastAsia="Calibri"/>
          <w:color w:val="000000"/>
        </w:rPr>
        <w:t>U</w:t>
      </w:r>
      <w:r w:rsidR="00C21C7A" w:rsidRPr="00A969CE">
        <w:rPr>
          <w:rFonts w:eastAsia="Calibri"/>
          <w:color w:val="000000"/>
        </w:rPr>
        <w:t>niversity</w:t>
      </w:r>
      <w:r w:rsidR="00C21C7A">
        <w:rPr>
          <w:rFonts w:eastAsia="Calibri"/>
          <w:color w:val="000000"/>
        </w:rPr>
        <w:t xml:space="preserve"> </w:t>
      </w:r>
      <w:r w:rsidR="00665313">
        <w:rPr>
          <w:rFonts w:eastAsia="Calibri"/>
          <w:color w:val="000000"/>
        </w:rPr>
        <w:t>must</w:t>
      </w:r>
      <w:r w:rsidR="00285732" w:rsidRPr="00A969CE">
        <w:rPr>
          <w:rFonts w:eastAsia="Calibri"/>
          <w:color w:val="000000"/>
        </w:rPr>
        <w:t xml:space="preserve"> impl</w:t>
      </w:r>
      <w:r w:rsidR="00665313">
        <w:rPr>
          <w:rFonts w:eastAsia="Calibri"/>
          <w:color w:val="000000"/>
        </w:rPr>
        <w:t>y</w:t>
      </w:r>
      <w:r w:rsidR="00285732" w:rsidRPr="00A969CE">
        <w:rPr>
          <w:rFonts w:eastAsia="Calibri"/>
          <w:color w:val="000000"/>
        </w:rPr>
        <w:t xml:space="preserve"> no responsibility</w:t>
      </w:r>
      <w:r w:rsidR="000D300C">
        <w:rPr>
          <w:rFonts w:eastAsia="Calibri"/>
          <w:color w:val="000000"/>
        </w:rPr>
        <w:t xml:space="preserve"> of the </w:t>
      </w:r>
      <w:r w:rsidR="00C21C7A">
        <w:rPr>
          <w:rFonts w:eastAsia="Calibri"/>
          <w:color w:val="000000"/>
        </w:rPr>
        <w:t>U</w:t>
      </w:r>
      <w:r w:rsidR="000D300C">
        <w:rPr>
          <w:rFonts w:eastAsia="Calibri"/>
          <w:color w:val="000000"/>
        </w:rPr>
        <w:t>niversity</w:t>
      </w:r>
      <w:r w:rsidR="00285732" w:rsidRPr="00A969CE">
        <w:rPr>
          <w:rFonts w:eastAsia="Calibri"/>
          <w:color w:val="000000"/>
        </w:rPr>
        <w:t xml:space="preserve"> to provide the donor a product, service, technical or scientific report, or intellectual property rights. Providing the </w:t>
      </w:r>
      <w:r w:rsidR="000A561B" w:rsidRPr="00A969CE">
        <w:rPr>
          <w:rFonts w:eastAsia="Calibri"/>
          <w:color w:val="000000"/>
        </w:rPr>
        <w:t>donor</w:t>
      </w:r>
      <w:r w:rsidR="00C21C7A">
        <w:rPr>
          <w:rFonts w:eastAsia="Calibri"/>
          <w:color w:val="000000"/>
        </w:rPr>
        <w:t xml:space="preserve"> with</w:t>
      </w:r>
      <w:r w:rsidR="00285732" w:rsidRPr="00A969CE">
        <w:rPr>
          <w:rFonts w:eastAsia="Calibri"/>
          <w:color w:val="000000"/>
        </w:rPr>
        <w:t xml:space="preserve"> the names of recipients of scholarships, awards, etc. or providing a report of how the funds were expended, do</w:t>
      </w:r>
      <w:r w:rsidR="00665313">
        <w:rPr>
          <w:rFonts w:eastAsia="Calibri"/>
          <w:color w:val="000000"/>
        </w:rPr>
        <w:t>es</w:t>
      </w:r>
      <w:r w:rsidR="00285732" w:rsidRPr="00A969CE">
        <w:rPr>
          <w:rFonts w:eastAsia="Calibri"/>
          <w:color w:val="000000"/>
        </w:rPr>
        <w:t xml:space="preserve"> not necessarily prevent the contribution from being considered a gift.</w:t>
      </w:r>
      <w:r w:rsidR="00665313">
        <w:rPr>
          <w:rFonts w:eastAsia="Calibri"/>
          <w:color w:val="000000"/>
        </w:rPr>
        <w:t xml:space="preserve"> </w:t>
      </w:r>
      <w:r w:rsidR="00285732" w:rsidRPr="00A969CE">
        <w:rPr>
          <w:rFonts w:eastAsia="Calibri"/>
          <w:color w:val="000000"/>
        </w:rPr>
        <w:t xml:space="preserve">The donor may specify the general use of the fund or it may be an unrestricted gift for use in meeting needs identified by the </w:t>
      </w:r>
      <w:r w:rsidR="00C21C7A">
        <w:rPr>
          <w:rFonts w:eastAsia="Calibri"/>
          <w:color w:val="000000"/>
        </w:rPr>
        <w:t>U</w:t>
      </w:r>
      <w:r w:rsidR="00C21C7A" w:rsidRPr="00A969CE">
        <w:rPr>
          <w:rFonts w:eastAsia="Calibri"/>
          <w:color w:val="000000"/>
        </w:rPr>
        <w:t>niversity</w:t>
      </w:r>
      <w:r w:rsidR="00285732" w:rsidRPr="00A969CE">
        <w:rPr>
          <w:rFonts w:eastAsia="Calibri"/>
          <w:color w:val="000000"/>
        </w:rPr>
        <w:t>, school, or related support organization.</w:t>
      </w:r>
      <w:r w:rsidR="00665313">
        <w:rPr>
          <w:rFonts w:eastAsia="Calibri"/>
          <w:color w:val="000000"/>
        </w:rPr>
        <w:t xml:space="preserve"> Gifts to the </w:t>
      </w:r>
      <w:r w:rsidR="00C21C7A">
        <w:rPr>
          <w:rFonts w:eastAsia="Calibri"/>
          <w:color w:val="000000"/>
        </w:rPr>
        <w:t>U</w:t>
      </w:r>
      <w:r w:rsidR="00665313">
        <w:rPr>
          <w:rFonts w:eastAsia="Calibri"/>
          <w:color w:val="000000"/>
        </w:rPr>
        <w:t>niversity ma</w:t>
      </w:r>
      <w:r>
        <w:rPr>
          <w:rFonts w:eastAsia="Calibri"/>
          <w:color w:val="000000"/>
        </w:rPr>
        <w:t xml:space="preserve">y be either for the general purposes of the </w:t>
      </w:r>
      <w:r w:rsidR="00C21C7A">
        <w:rPr>
          <w:rFonts w:eastAsia="Calibri"/>
          <w:color w:val="000000"/>
        </w:rPr>
        <w:t>U</w:t>
      </w:r>
      <w:r>
        <w:rPr>
          <w:rFonts w:eastAsia="Calibri"/>
          <w:color w:val="000000"/>
        </w:rPr>
        <w:t>niversity or for the specific use of one of its constituent schools, departments, institutes, centers, programs, or agencies.</w:t>
      </w:r>
      <w:r w:rsidR="00285732" w:rsidRPr="00A969CE">
        <w:rPr>
          <w:rFonts w:eastAsia="Calibri"/>
          <w:color w:val="000000"/>
        </w:rPr>
        <w:t xml:space="preserve"> </w:t>
      </w:r>
      <w:r w:rsidR="00285732" w:rsidRPr="00621A43">
        <w:rPr>
          <w:rFonts w:eastAsia="Calibri"/>
          <w:color w:val="000000"/>
        </w:rPr>
        <w:t xml:space="preserve">For scholarship gifts, the donor may not participate in the </w:t>
      </w:r>
      <w:r w:rsidR="00621A43" w:rsidRPr="00621A43">
        <w:rPr>
          <w:rFonts w:eastAsia="Calibri"/>
          <w:color w:val="000000"/>
        </w:rPr>
        <w:t xml:space="preserve">final </w:t>
      </w:r>
      <w:r w:rsidR="00285732" w:rsidRPr="00621A43">
        <w:rPr>
          <w:rFonts w:eastAsia="Calibri"/>
          <w:color w:val="000000"/>
        </w:rPr>
        <w:t xml:space="preserve">selection of the </w:t>
      </w:r>
      <w:r w:rsidR="00C21C7A" w:rsidRPr="00621A43">
        <w:rPr>
          <w:rFonts w:eastAsia="Calibri"/>
          <w:color w:val="000000"/>
        </w:rPr>
        <w:t>recipient but</w:t>
      </w:r>
      <w:r w:rsidR="00285732" w:rsidRPr="00621A43">
        <w:rPr>
          <w:rFonts w:eastAsia="Calibri"/>
          <w:color w:val="000000"/>
        </w:rPr>
        <w:t xml:space="preserve"> may designate specific criteria for selection of recipients.</w:t>
      </w:r>
      <w:r w:rsidR="00285732" w:rsidRPr="00A969CE">
        <w:rPr>
          <w:rFonts w:eastAsia="Calibri"/>
          <w:color w:val="000000"/>
        </w:rPr>
        <w:t xml:space="preserve"> </w:t>
      </w:r>
    </w:p>
    <w:p w14:paraId="13036894" w14:textId="77777777" w:rsidR="00285732" w:rsidRPr="00A969CE" w:rsidRDefault="00285732" w:rsidP="00621A43">
      <w:pPr>
        <w:widowControl/>
        <w:jc w:val="both"/>
        <w:rPr>
          <w:rFonts w:eastAsia="Calibri"/>
          <w:color w:val="000000"/>
        </w:rPr>
      </w:pPr>
    </w:p>
    <w:p w14:paraId="04CFA2E0" w14:textId="01FB65CA" w:rsidR="00285732" w:rsidRPr="00A969CE" w:rsidRDefault="00814F2C" w:rsidP="00621A43">
      <w:pPr>
        <w:widowControl/>
        <w:jc w:val="both"/>
        <w:rPr>
          <w:rFonts w:eastAsia="Calibri"/>
          <w:color w:val="000000"/>
        </w:rPr>
      </w:pPr>
      <w:r>
        <w:rPr>
          <w:rFonts w:eastAsia="Calibri"/>
          <w:color w:val="000000"/>
        </w:rPr>
        <w:t xml:space="preserve">3.2 </w:t>
      </w:r>
      <w:r w:rsidRPr="00782972">
        <w:rPr>
          <w:rFonts w:eastAsia="Calibri"/>
          <w:b/>
          <w:color w:val="000000"/>
        </w:rPr>
        <w:t>Grant</w:t>
      </w:r>
      <w:r>
        <w:rPr>
          <w:rFonts w:eastAsia="Calibri"/>
          <w:color w:val="000000"/>
        </w:rPr>
        <w:t>.</w:t>
      </w:r>
      <w:r w:rsidR="00285732" w:rsidRPr="00A969CE">
        <w:rPr>
          <w:rFonts w:eastAsia="Calibri"/>
          <w:color w:val="000000"/>
        </w:rPr>
        <w:t xml:space="preserve"> A </w:t>
      </w:r>
      <w:r w:rsidR="00285732" w:rsidRPr="00B14AFC">
        <w:rPr>
          <w:rFonts w:eastAsia="Calibri"/>
          <w:color w:val="000000"/>
        </w:rPr>
        <w:t>grant</w:t>
      </w:r>
      <w:r w:rsidR="00285732" w:rsidRPr="00A969CE">
        <w:rPr>
          <w:rFonts w:eastAsia="Calibri"/>
          <w:color w:val="000000"/>
        </w:rPr>
        <w:t xml:space="preserve">, unlike a gift, is normally a written agreement to carry out a specified project and may entail a tangible product, usually a technical report. A grant that requires performance on the part of the </w:t>
      </w:r>
      <w:r w:rsidR="00C21C7A">
        <w:rPr>
          <w:rFonts w:eastAsia="Calibri"/>
          <w:color w:val="000000"/>
        </w:rPr>
        <w:t>U</w:t>
      </w:r>
      <w:r w:rsidR="00C21C7A" w:rsidRPr="00A969CE">
        <w:rPr>
          <w:rFonts w:eastAsia="Calibri"/>
          <w:color w:val="000000"/>
        </w:rPr>
        <w:t xml:space="preserve">niversity </w:t>
      </w:r>
      <w:r w:rsidR="00285732" w:rsidRPr="00A969CE">
        <w:rPr>
          <w:rFonts w:eastAsia="Calibri"/>
          <w:color w:val="000000"/>
        </w:rPr>
        <w:t xml:space="preserve">must be processed through established </w:t>
      </w:r>
      <w:r w:rsidR="00C21C7A">
        <w:rPr>
          <w:rFonts w:eastAsia="Calibri"/>
          <w:color w:val="000000"/>
        </w:rPr>
        <w:t>U</w:t>
      </w:r>
      <w:r w:rsidR="00C21C7A" w:rsidRPr="00A969CE">
        <w:rPr>
          <w:rFonts w:eastAsia="Calibri"/>
          <w:color w:val="000000"/>
        </w:rPr>
        <w:t xml:space="preserve">niversity </w:t>
      </w:r>
      <w:r w:rsidR="00285732" w:rsidRPr="00A969CE">
        <w:rPr>
          <w:rFonts w:eastAsia="Calibri"/>
          <w:color w:val="000000"/>
        </w:rPr>
        <w:t xml:space="preserve">procedures. A grant that requires no performance on the part of the </w:t>
      </w:r>
      <w:r w:rsidR="00C21C7A">
        <w:rPr>
          <w:rFonts w:eastAsia="Calibri"/>
          <w:color w:val="000000"/>
        </w:rPr>
        <w:t>U</w:t>
      </w:r>
      <w:r w:rsidR="00C21C7A" w:rsidRPr="00A969CE">
        <w:rPr>
          <w:rFonts w:eastAsia="Calibri"/>
          <w:color w:val="000000"/>
        </w:rPr>
        <w:t>niversity</w:t>
      </w:r>
      <w:r w:rsidR="00285732" w:rsidRPr="00A969CE">
        <w:rPr>
          <w:rFonts w:eastAsia="Calibri"/>
          <w:color w:val="000000"/>
        </w:rPr>
        <w:t xml:space="preserve">, no technical report, and has no provisions for intellectual property and/or publication rights, </w:t>
      </w:r>
      <w:r w:rsidRPr="00A969CE">
        <w:rPr>
          <w:rFonts w:eastAsia="Calibri"/>
          <w:color w:val="000000"/>
        </w:rPr>
        <w:t>w</w:t>
      </w:r>
      <w:r>
        <w:rPr>
          <w:rFonts w:eastAsia="Calibri"/>
          <w:color w:val="000000"/>
        </w:rPr>
        <w:t>ill</w:t>
      </w:r>
      <w:r w:rsidRPr="00A969CE">
        <w:rPr>
          <w:rFonts w:eastAsia="Calibri"/>
          <w:color w:val="000000"/>
        </w:rPr>
        <w:t xml:space="preserve"> </w:t>
      </w:r>
      <w:r w:rsidR="00285732" w:rsidRPr="00A969CE">
        <w:rPr>
          <w:rFonts w:eastAsia="Calibri"/>
          <w:color w:val="000000"/>
        </w:rPr>
        <w:t xml:space="preserve">be treated as a </w:t>
      </w:r>
      <w:r w:rsidR="00AD731A">
        <w:rPr>
          <w:rFonts w:eastAsia="Calibri"/>
          <w:color w:val="000000"/>
        </w:rPr>
        <w:t>gift.</w:t>
      </w:r>
      <w:r w:rsidR="00285732" w:rsidRPr="00A969CE">
        <w:rPr>
          <w:rFonts w:eastAsia="Calibri"/>
          <w:color w:val="000000"/>
        </w:rPr>
        <w:t xml:space="preserve"> If an award is made with stipulations on technical reporting, intellectual property or other performance requirements in response to a grant proposal, then the project will be administered by the Office </w:t>
      </w:r>
      <w:r w:rsidR="00285732" w:rsidRPr="00A969CE">
        <w:rPr>
          <w:rFonts w:eastAsia="Calibri"/>
          <w:color w:val="000000"/>
        </w:rPr>
        <w:lastRenderedPageBreak/>
        <w:t xml:space="preserve">of Sponsored Research and Programs and deposited with the </w:t>
      </w:r>
      <w:r w:rsidR="00C21C7A">
        <w:rPr>
          <w:rFonts w:eastAsia="Calibri"/>
          <w:color w:val="000000"/>
        </w:rPr>
        <w:t>U</w:t>
      </w:r>
      <w:r w:rsidR="00C21C7A" w:rsidRPr="00A969CE">
        <w:rPr>
          <w:rFonts w:eastAsia="Calibri"/>
          <w:color w:val="000000"/>
        </w:rPr>
        <w:t>niversity</w:t>
      </w:r>
      <w:r w:rsidR="00285732" w:rsidRPr="00A969CE">
        <w:rPr>
          <w:rFonts w:eastAsia="Calibri"/>
          <w:color w:val="000000"/>
        </w:rPr>
        <w:t xml:space="preserve">. Any exceptions must be approved by the </w:t>
      </w:r>
      <w:r w:rsidR="00285732">
        <w:rPr>
          <w:rFonts w:eastAsia="Calibri"/>
          <w:color w:val="000000"/>
        </w:rPr>
        <w:t>vice</w:t>
      </w:r>
      <w:r w:rsidR="00285732" w:rsidRPr="00A969CE">
        <w:rPr>
          <w:rFonts w:eastAsia="Calibri"/>
          <w:color w:val="000000"/>
        </w:rPr>
        <w:t xml:space="preserve"> </w:t>
      </w:r>
      <w:r w:rsidR="00285732">
        <w:rPr>
          <w:rFonts w:eastAsia="Calibri"/>
          <w:color w:val="000000"/>
        </w:rPr>
        <w:t>chancellor</w:t>
      </w:r>
      <w:r w:rsidR="00285732" w:rsidRPr="00A969CE">
        <w:rPr>
          <w:rFonts w:eastAsia="Calibri"/>
          <w:color w:val="000000"/>
        </w:rPr>
        <w:t xml:space="preserve"> for Finance and Administration. </w:t>
      </w:r>
    </w:p>
    <w:p w14:paraId="2CA82C31" w14:textId="77777777" w:rsidR="00285732" w:rsidRPr="00A969CE" w:rsidRDefault="00285732" w:rsidP="00621A43">
      <w:pPr>
        <w:widowControl/>
        <w:jc w:val="both"/>
        <w:rPr>
          <w:rFonts w:eastAsia="Calibri"/>
          <w:color w:val="000000"/>
        </w:rPr>
      </w:pPr>
    </w:p>
    <w:p w14:paraId="4AB40BD9" w14:textId="1291AB57" w:rsidR="00285732" w:rsidRPr="00A969CE" w:rsidRDefault="00814F2C" w:rsidP="00621A43">
      <w:pPr>
        <w:widowControl/>
        <w:jc w:val="both"/>
        <w:rPr>
          <w:rFonts w:eastAsia="Calibri"/>
          <w:color w:val="000000"/>
        </w:rPr>
      </w:pPr>
      <w:r>
        <w:rPr>
          <w:rFonts w:eastAsia="Calibri"/>
          <w:color w:val="000000"/>
        </w:rPr>
        <w:t>3</w:t>
      </w:r>
      <w:r w:rsidR="00285732" w:rsidRPr="00A969CE">
        <w:rPr>
          <w:rFonts w:eastAsia="Calibri"/>
          <w:color w:val="000000"/>
        </w:rPr>
        <w:t xml:space="preserve">.3 </w:t>
      </w:r>
      <w:r w:rsidR="00285732" w:rsidRPr="00782972">
        <w:rPr>
          <w:rFonts w:eastAsia="Calibri"/>
          <w:b/>
          <w:color w:val="000000"/>
        </w:rPr>
        <w:t xml:space="preserve">Hard </w:t>
      </w:r>
      <w:r w:rsidRPr="00782972">
        <w:rPr>
          <w:rFonts w:eastAsia="Calibri"/>
          <w:b/>
          <w:color w:val="000000"/>
        </w:rPr>
        <w:t>c</w:t>
      </w:r>
      <w:r w:rsidR="00285732" w:rsidRPr="00782972">
        <w:rPr>
          <w:rFonts w:eastAsia="Calibri"/>
          <w:b/>
          <w:color w:val="000000"/>
        </w:rPr>
        <w:t>redit</w:t>
      </w:r>
      <w:r w:rsidR="00285732">
        <w:rPr>
          <w:rFonts w:eastAsia="Calibri"/>
          <w:color w:val="000000"/>
        </w:rPr>
        <w:t>.</w:t>
      </w:r>
      <w:r w:rsidR="00285732" w:rsidRPr="00A969CE">
        <w:rPr>
          <w:rFonts w:eastAsia="Calibri"/>
          <w:color w:val="000000"/>
        </w:rPr>
        <w:t xml:space="preserve"> </w:t>
      </w:r>
      <w:r w:rsidR="00B45578">
        <w:rPr>
          <w:rFonts w:eastAsia="Calibri"/>
          <w:color w:val="000000"/>
        </w:rPr>
        <w:t>The</w:t>
      </w:r>
      <w:r w:rsidR="00285732">
        <w:rPr>
          <w:rFonts w:eastAsia="Calibri"/>
          <w:color w:val="000000"/>
        </w:rPr>
        <w:t xml:space="preserve"> legal</w:t>
      </w:r>
      <w:r w:rsidR="00285732" w:rsidRPr="00A969CE">
        <w:rPr>
          <w:rFonts w:eastAsia="Calibri"/>
          <w:color w:val="000000"/>
        </w:rPr>
        <w:t xml:space="preserve"> donor’s giving record is credited with the actual amount that is deposited into the account for gifts of cash and securities according to the gift transmittal filed on the gift. For irrevocable planned gifts such as charitable remainder trusts, charitable gift annuities, and retained life estates, the donor’s giving record is hard credited with the charitable deduction allowed by the Internal Revenue Service </w:t>
      </w:r>
      <w:r w:rsidR="00C21C7A">
        <w:rPr>
          <w:rFonts w:eastAsia="Calibri"/>
          <w:color w:val="000000"/>
        </w:rPr>
        <w:t xml:space="preserve">(IRS) </w:t>
      </w:r>
      <w:r w:rsidR="00285732" w:rsidRPr="00A969CE">
        <w:rPr>
          <w:rFonts w:eastAsia="Calibri"/>
          <w:color w:val="000000"/>
        </w:rPr>
        <w:t xml:space="preserve">and reflected on the gift transmittal. For gifts of real estate, life insurance and other gifts of property, the donor’s giving record is given proper credit with the allowable charitable deduction. </w:t>
      </w:r>
    </w:p>
    <w:p w14:paraId="78375893" w14:textId="77777777" w:rsidR="00285732" w:rsidRPr="00A969CE" w:rsidRDefault="00285732" w:rsidP="00621A43">
      <w:pPr>
        <w:widowControl/>
        <w:jc w:val="both"/>
        <w:rPr>
          <w:rFonts w:eastAsia="Calibri"/>
          <w:color w:val="000000"/>
        </w:rPr>
      </w:pPr>
    </w:p>
    <w:p w14:paraId="7E4DE9F2" w14:textId="7966E931" w:rsidR="00285732" w:rsidRPr="009C1D95" w:rsidRDefault="00814F2C" w:rsidP="00621A43">
      <w:pPr>
        <w:widowControl/>
        <w:jc w:val="both"/>
        <w:rPr>
          <w:rFonts w:eastAsia="Calibri"/>
          <w:b/>
          <w:color w:val="000000"/>
        </w:rPr>
      </w:pPr>
      <w:r>
        <w:rPr>
          <w:rFonts w:eastAsia="Calibri"/>
          <w:color w:val="000000"/>
        </w:rPr>
        <w:t>3</w:t>
      </w:r>
      <w:r w:rsidR="00285732" w:rsidRPr="00A969CE">
        <w:rPr>
          <w:rFonts w:eastAsia="Calibri"/>
          <w:color w:val="000000"/>
        </w:rPr>
        <w:t xml:space="preserve">.4 </w:t>
      </w:r>
      <w:r w:rsidR="00285732" w:rsidRPr="00782972">
        <w:rPr>
          <w:rFonts w:eastAsia="Calibri"/>
          <w:b/>
          <w:color w:val="000000"/>
        </w:rPr>
        <w:t>Soft credit</w:t>
      </w:r>
      <w:r w:rsidR="00285732">
        <w:rPr>
          <w:rFonts w:eastAsia="Calibri"/>
          <w:color w:val="000000"/>
        </w:rPr>
        <w:t>.</w:t>
      </w:r>
      <w:r w:rsidR="00285732" w:rsidRPr="00A969CE">
        <w:rPr>
          <w:rFonts w:eastAsia="Calibri"/>
          <w:color w:val="000000"/>
        </w:rPr>
        <w:t xml:space="preserve"> </w:t>
      </w:r>
      <w:r w:rsidR="00285732">
        <w:rPr>
          <w:rFonts w:eastAsia="Calibri"/>
          <w:color w:val="000000"/>
        </w:rPr>
        <w:t>T</w:t>
      </w:r>
      <w:r w:rsidR="00285732" w:rsidRPr="00A969CE">
        <w:rPr>
          <w:rFonts w:eastAsia="Calibri"/>
          <w:color w:val="000000"/>
        </w:rPr>
        <w:t xml:space="preserve">he donor’s giving record is soft credited when their direct actions result in a gift, but they are not entitled to a charitable deduction for the gift. Examples would include soft crediting an individual for a gift from a charitable gift fund or a community foundation, or a gift that is made by their spouse/partner or their company if they are the principal owner, and any matching funds that UNCP receives because of the individual’s gift. </w:t>
      </w:r>
    </w:p>
    <w:p w14:paraId="0E14F482" w14:textId="77777777" w:rsidR="00285732" w:rsidRPr="00A969CE" w:rsidRDefault="00285732" w:rsidP="00621A43">
      <w:pPr>
        <w:widowControl/>
        <w:jc w:val="both"/>
        <w:rPr>
          <w:rFonts w:eastAsia="Calibri"/>
          <w:color w:val="000000"/>
        </w:rPr>
      </w:pPr>
    </w:p>
    <w:p w14:paraId="54F4E1FD" w14:textId="16E03D4E" w:rsidR="00285732" w:rsidRPr="00A969CE" w:rsidRDefault="00814F2C" w:rsidP="00621A43">
      <w:pPr>
        <w:widowControl/>
        <w:jc w:val="both"/>
        <w:rPr>
          <w:rFonts w:eastAsia="Calibri"/>
          <w:b/>
          <w:bCs/>
          <w:color w:val="000000"/>
        </w:rPr>
      </w:pPr>
      <w:r>
        <w:rPr>
          <w:rFonts w:eastAsia="Calibri"/>
          <w:b/>
          <w:bCs/>
          <w:color w:val="000000"/>
        </w:rPr>
        <w:t>4</w:t>
      </w:r>
      <w:r w:rsidR="00285732" w:rsidRPr="00A969CE">
        <w:rPr>
          <w:rFonts w:eastAsia="Calibri"/>
          <w:b/>
          <w:bCs/>
          <w:color w:val="000000"/>
        </w:rPr>
        <w:t xml:space="preserve">. </w:t>
      </w:r>
      <w:r w:rsidR="00285732" w:rsidRPr="00A969CE">
        <w:rPr>
          <w:rFonts w:eastAsia="Calibri"/>
          <w:b/>
          <w:bCs/>
          <w:caps/>
          <w:color w:val="000000"/>
        </w:rPr>
        <w:t>Types of Outright Gifts</w:t>
      </w:r>
    </w:p>
    <w:p w14:paraId="518E7AAE" w14:textId="77777777" w:rsidR="00285732" w:rsidRPr="00A969CE" w:rsidRDefault="00285732" w:rsidP="00621A43">
      <w:pPr>
        <w:widowControl/>
        <w:jc w:val="both"/>
        <w:rPr>
          <w:rFonts w:eastAsia="Calibri"/>
          <w:color w:val="000000"/>
        </w:rPr>
      </w:pPr>
    </w:p>
    <w:p w14:paraId="620541E5" w14:textId="339CA371"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.1 Cash gifts </w:t>
      </w:r>
    </w:p>
    <w:p w14:paraId="7EBDE27A" w14:textId="77777777" w:rsidR="00285732" w:rsidRPr="00A969CE" w:rsidRDefault="00285732" w:rsidP="00621A43">
      <w:pPr>
        <w:widowControl/>
        <w:jc w:val="both"/>
        <w:rPr>
          <w:rFonts w:eastAsia="Calibri"/>
          <w:color w:val="000000"/>
        </w:rPr>
      </w:pPr>
    </w:p>
    <w:p w14:paraId="55A65EED" w14:textId="25F5972B"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.1.1 </w:t>
      </w:r>
      <w:r w:rsidR="00814F2C">
        <w:rPr>
          <w:rFonts w:eastAsia="Calibri"/>
          <w:color w:val="000000"/>
        </w:rPr>
        <w:t>Gifts</w:t>
      </w:r>
      <w:r w:rsidR="00285732" w:rsidRPr="00A969CE">
        <w:rPr>
          <w:rFonts w:eastAsia="Calibri"/>
          <w:color w:val="000000"/>
        </w:rPr>
        <w:t xml:space="preserve"> of cash and cash equivalents</w:t>
      </w:r>
      <w:r w:rsidR="00285732">
        <w:rPr>
          <w:rFonts w:eastAsia="Calibri"/>
          <w:color w:val="000000"/>
        </w:rPr>
        <w:t>,</w:t>
      </w:r>
      <w:r w:rsidR="00285732" w:rsidRPr="00A969CE">
        <w:rPr>
          <w:rFonts w:eastAsia="Calibri"/>
          <w:color w:val="000000"/>
        </w:rPr>
        <w:t xml:space="preserve"> such as checks, credit cards, wire transfers or payroll deductions</w:t>
      </w:r>
      <w:r w:rsidR="00285732">
        <w:rPr>
          <w:rFonts w:eastAsia="Calibri"/>
          <w:color w:val="000000"/>
        </w:rPr>
        <w:t>,</w:t>
      </w:r>
      <w:r w:rsidR="00285732" w:rsidRPr="00A969CE">
        <w:rPr>
          <w:rFonts w:eastAsia="Calibri"/>
          <w:color w:val="000000"/>
        </w:rPr>
        <w:t xml:space="preserve"> are credited to the donor’s giving record at actual cash value and a receipt is issued for the value of the gift. </w:t>
      </w:r>
    </w:p>
    <w:p w14:paraId="6A9486A2" w14:textId="77777777" w:rsidR="00285732" w:rsidRPr="00A969CE" w:rsidRDefault="00285732" w:rsidP="00621A43">
      <w:pPr>
        <w:widowControl/>
        <w:jc w:val="both"/>
        <w:rPr>
          <w:rFonts w:eastAsia="Calibri"/>
          <w:color w:val="000000"/>
        </w:rPr>
      </w:pPr>
    </w:p>
    <w:p w14:paraId="5EFDDB34" w14:textId="59B518E6"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.2 Publicly traded securities, mutual funds, and dividend reinvestment accounts </w:t>
      </w:r>
    </w:p>
    <w:p w14:paraId="4BCF3860" w14:textId="77777777" w:rsidR="00285732" w:rsidRPr="00A969CE" w:rsidRDefault="00285732" w:rsidP="00621A43">
      <w:pPr>
        <w:widowControl/>
        <w:jc w:val="both"/>
        <w:rPr>
          <w:rFonts w:eastAsia="Calibri"/>
          <w:color w:val="000000"/>
        </w:rPr>
      </w:pPr>
    </w:p>
    <w:p w14:paraId="67B29696" w14:textId="138905F3"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.2.1 Marketable stocks, bonds, or other securities traded on national exchanges are acceptable as outright gifts, payments toward pledge commitments, and to fund various deferred gifts such as charitable remainder trusts and charitable gift annuities. </w:t>
      </w:r>
    </w:p>
    <w:p w14:paraId="4947DEEB" w14:textId="77777777" w:rsidR="00285732" w:rsidRPr="00A969CE" w:rsidRDefault="00285732" w:rsidP="00621A43">
      <w:pPr>
        <w:widowControl/>
        <w:jc w:val="both"/>
        <w:rPr>
          <w:rFonts w:eastAsia="Calibri"/>
          <w:color w:val="000000"/>
        </w:rPr>
      </w:pPr>
    </w:p>
    <w:p w14:paraId="653FC2D2" w14:textId="6BFE3E07"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.3 </w:t>
      </w:r>
      <w:r w:rsidR="00CB2B6D" w:rsidRPr="00A969CE">
        <w:rPr>
          <w:rFonts w:eastAsia="Calibri"/>
          <w:color w:val="000000"/>
        </w:rPr>
        <w:t>Closely held</w:t>
      </w:r>
      <w:r w:rsidR="00285732" w:rsidRPr="00A969CE">
        <w:rPr>
          <w:rFonts w:eastAsia="Calibri"/>
          <w:color w:val="000000"/>
        </w:rPr>
        <w:t xml:space="preserve"> securities (non-public) or restricted stock</w:t>
      </w:r>
    </w:p>
    <w:p w14:paraId="5A21F03E" w14:textId="77777777" w:rsidR="00285732" w:rsidRPr="00A969CE" w:rsidRDefault="00285732" w:rsidP="00621A43">
      <w:pPr>
        <w:widowControl/>
        <w:jc w:val="both"/>
        <w:rPr>
          <w:rFonts w:eastAsia="Calibri"/>
          <w:color w:val="000000"/>
        </w:rPr>
      </w:pPr>
    </w:p>
    <w:p w14:paraId="630A6153" w14:textId="29B9E93F"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.3.1 Under certain circumstances the </w:t>
      </w:r>
      <w:r w:rsidR="00C21C7A">
        <w:rPr>
          <w:rFonts w:eastAsia="Calibri"/>
          <w:color w:val="000000"/>
        </w:rPr>
        <w:t>U</w:t>
      </w:r>
      <w:r w:rsidR="00285732" w:rsidRPr="00A969CE">
        <w:rPr>
          <w:rFonts w:eastAsia="Calibri"/>
          <w:color w:val="000000"/>
        </w:rPr>
        <w:t xml:space="preserve">niversity will accept gifts of securities that are not traded on a public stock exchange or that have restrictions on them. The </w:t>
      </w:r>
      <w:r w:rsidR="00285732">
        <w:rPr>
          <w:rFonts w:eastAsia="Calibri"/>
          <w:color w:val="000000"/>
        </w:rPr>
        <w:t>vice</w:t>
      </w:r>
      <w:r w:rsidR="00285732" w:rsidRPr="00A969CE">
        <w:rPr>
          <w:rFonts w:eastAsia="Calibri"/>
          <w:color w:val="000000"/>
        </w:rPr>
        <w:t xml:space="preserve"> </w:t>
      </w:r>
      <w:r w:rsidR="00285732">
        <w:rPr>
          <w:rFonts w:eastAsia="Calibri"/>
          <w:color w:val="000000"/>
        </w:rPr>
        <w:t>chancellor</w:t>
      </w:r>
      <w:r w:rsidR="00285732" w:rsidRPr="00A969CE">
        <w:rPr>
          <w:rFonts w:eastAsia="Calibri"/>
          <w:color w:val="000000"/>
        </w:rPr>
        <w:t xml:space="preserve"> </w:t>
      </w:r>
      <w:r w:rsidR="009C3D08">
        <w:rPr>
          <w:rFonts w:eastAsia="Calibri"/>
          <w:color w:val="000000"/>
        </w:rPr>
        <w:t>of</w:t>
      </w:r>
      <w:r w:rsidR="00285732" w:rsidRPr="00A969CE">
        <w:rPr>
          <w:rFonts w:eastAsia="Calibri"/>
          <w:color w:val="000000"/>
        </w:rPr>
        <w:t xml:space="preserve"> Advancement and the </w:t>
      </w:r>
      <w:r w:rsidR="00285732">
        <w:rPr>
          <w:rFonts w:eastAsia="Calibri"/>
          <w:color w:val="000000"/>
        </w:rPr>
        <w:t>vice</w:t>
      </w:r>
      <w:r w:rsidR="00285732" w:rsidRPr="00A969CE">
        <w:rPr>
          <w:rFonts w:eastAsia="Calibri"/>
          <w:color w:val="000000"/>
        </w:rPr>
        <w:t xml:space="preserve"> </w:t>
      </w:r>
      <w:r w:rsidR="00285732">
        <w:rPr>
          <w:rFonts w:eastAsia="Calibri"/>
          <w:color w:val="000000"/>
        </w:rPr>
        <w:t>chancellor</w:t>
      </w:r>
      <w:r w:rsidR="00285732" w:rsidRPr="00A969CE">
        <w:rPr>
          <w:rFonts w:eastAsia="Calibri"/>
          <w:color w:val="000000"/>
        </w:rPr>
        <w:t xml:space="preserve"> for Finance and Administration must approve the acceptance of non-public securities before the shares can be accepted. </w:t>
      </w:r>
    </w:p>
    <w:p w14:paraId="20448F16" w14:textId="77777777" w:rsidR="00285732" w:rsidRPr="00A969CE" w:rsidRDefault="00285732" w:rsidP="00621A43">
      <w:pPr>
        <w:widowControl/>
        <w:jc w:val="both"/>
        <w:rPr>
          <w:rFonts w:eastAsia="Calibri"/>
          <w:color w:val="000000"/>
        </w:rPr>
      </w:pPr>
    </w:p>
    <w:p w14:paraId="013201FB" w14:textId="5C35EA2F"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.4 Employer-sponsored matching gifts</w:t>
      </w:r>
    </w:p>
    <w:p w14:paraId="7682BC7E" w14:textId="77777777" w:rsidR="00285732" w:rsidRPr="00A969CE" w:rsidRDefault="00285732" w:rsidP="00621A43">
      <w:pPr>
        <w:widowControl/>
        <w:jc w:val="both"/>
        <w:rPr>
          <w:rFonts w:eastAsia="Calibri"/>
          <w:color w:val="000000"/>
        </w:rPr>
      </w:pPr>
    </w:p>
    <w:p w14:paraId="10862477" w14:textId="5F3407A9"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.4.1 A matching gift may be received from a company or a company</w:t>
      </w:r>
      <w:r w:rsidR="00C21C7A">
        <w:rPr>
          <w:rFonts w:eastAsia="Calibri"/>
          <w:color w:val="000000"/>
        </w:rPr>
        <w:t>-</w:t>
      </w:r>
      <w:r w:rsidR="00285732" w:rsidRPr="00A969CE">
        <w:rPr>
          <w:rFonts w:eastAsia="Calibri"/>
          <w:color w:val="000000"/>
        </w:rPr>
        <w:t xml:space="preserve">funded foundation, matching a gift given to the </w:t>
      </w:r>
      <w:r w:rsidR="00C21C7A">
        <w:rPr>
          <w:rFonts w:eastAsia="Calibri"/>
          <w:color w:val="000000"/>
        </w:rPr>
        <w:t>U</w:t>
      </w:r>
      <w:r w:rsidR="00285732" w:rsidRPr="00A969CE">
        <w:rPr>
          <w:rFonts w:eastAsia="Calibri"/>
          <w:color w:val="000000"/>
        </w:rPr>
        <w:t xml:space="preserve">niversity by an employee, retired employee, or a director of the company, foundation, or other organization. </w:t>
      </w:r>
    </w:p>
    <w:p w14:paraId="05319D76" w14:textId="77777777" w:rsidR="00285732" w:rsidRPr="00A969CE" w:rsidRDefault="00285732" w:rsidP="00621A43">
      <w:pPr>
        <w:widowControl/>
        <w:jc w:val="both"/>
        <w:rPr>
          <w:rFonts w:eastAsia="Calibri"/>
          <w:color w:val="000000"/>
        </w:rPr>
      </w:pPr>
    </w:p>
    <w:p w14:paraId="5B725C22" w14:textId="6A16C87E"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.5 Gifts through Donor Advised Funds and Community Foundations </w:t>
      </w:r>
      <w:r w:rsidR="000F70EA" w:rsidRPr="00A969CE">
        <w:rPr>
          <w:rFonts w:eastAsia="Calibri"/>
          <w:color w:val="000000"/>
        </w:rPr>
        <w:t>(DAF/CF)</w:t>
      </w:r>
    </w:p>
    <w:p w14:paraId="4D455AE5" w14:textId="77777777" w:rsidR="00285732" w:rsidRPr="00A969CE" w:rsidRDefault="00285732" w:rsidP="00621A43">
      <w:pPr>
        <w:widowControl/>
        <w:jc w:val="both"/>
        <w:rPr>
          <w:rFonts w:eastAsia="Calibri"/>
          <w:color w:val="000000"/>
        </w:rPr>
      </w:pPr>
    </w:p>
    <w:p w14:paraId="78BCD529" w14:textId="1DB1B0C6"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.5.1 Donor</w:t>
      </w:r>
      <w:r w:rsidR="00C21C7A">
        <w:rPr>
          <w:rFonts w:eastAsia="Calibri"/>
          <w:color w:val="000000"/>
        </w:rPr>
        <w:t>-</w:t>
      </w:r>
      <w:r w:rsidR="00285732" w:rsidRPr="00A969CE">
        <w:rPr>
          <w:rFonts w:eastAsia="Calibri"/>
          <w:color w:val="000000"/>
        </w:rPr>
        <w:t xml:space="preserve">Advised Funds and Community Foundations are recognized as stand-alone 501(c)(3) tax-exempt charitable organizations. When a donor </w:t>
      </w:r>
      <w:proofErr w:type="gramStart"/>
      <w:r w:rsidR="00285732" w:rsidRPr="00A969CE">
        <w:rPr>
          <w:rFonts w:eastAsia="Calibri"/>
          <w:color w:val="000000"/>
        </w:rPr>
        <w:t>makes a donation</w:t>
      </w:r>
      <w:proofErr w:type="gramEnd"/>
      <w:r w:rsidR="00285732" w:rsidRPr="00A969CE">
        <w:rPr>
          <w:rFonts w:eastAsia="Calibri"/>
          <w:color w:val="000000"/>
        </w:rPr>
        <w:t xml:space="preserve"> to one of these entities</w:t>
      </w:r>
      <w:r w:rsidR="009C3D08">
        <w:rPr>
          <w:rFonts w:eastAsia="Calibri"/>
          <w:color w:val="000000"/>
        </w:rPr>
        <w:t>,</w:t>
      </w:r>
      <w:r w:rsidR="00285732" w:rsidRPr="00A969CE">
        <w:rPr>
          <w:rFonts w:eastAsia="Calibri"/>
          <w:color w:val="000000"/>
        </w:rPr>
        <w:t xml:space="preserve"> they receive their income tax deduction for doing so from the DAF/CF. </w:t>
      </w:r>
    </w:p>
    <w:p w14:paraId="7F4A7B27" w14:textId="77777777" w:rsidR="00285732" w:rsidRPr="00A969CE" w:rsidRDefault="00285732" w:rsidP="00621A43">
      <w:pPr>
        <w:widowControl/>
        <w:jc w:val="both"/>
        <w:rPr>
          <w:rFonts w:eastAsia="Calibri"/>
          <w:color w:val="000000"/>
        </w:rPr>
      </w:pPr>
    </w:p>
    <w:p w14:paraId="676391B5" w14:textId="4460836B"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.5.2 A donor may recommend that a </w:t>
      </w:r>
      <w:r w:rsidR="00C21C7A">
        <w:rPr>
          <w:rFonts w:eastAsia="Calibri"/>
          <w:color w:val="000000"/>
        </w:rPr>
        <w:t>d</w:t>
      </w:r>
      <w:r w:rsidR="00C21C7A" w:rsidRPr="00A969CE">
        <w:rPr>
          <w:rFonts w:eastAsia="Calibri"/>
          <w:color w:val="000000"/>
        </w:rPr>
        <w:t>onor</w:t>
      </w:r>
      <w:r w:rsidR="00C21C7A">
        <w:rPr>
          <w:rFonts w:eastAsia="Calibri"/>
          <w:color w:val="000000"/>
        </w:rPr>
        <w:t>-a</w:t>
      </w:r>
      <w:r w:rsidR="00285732" w:rsidRPr="00A969CE">
        <w:rPr>
          <w:rFonts w:eastAsia="Calibri"/>
          <w:color w:val="000000"/>
        </w:rPr>
        <w:t xml:space="preserve">dvised </w:t>
      </w:r>
      <w:r w:rsidR="00C21C7A">
        <w:rPr>
          <w:rFonts w:eastAsia="Calibri"/>
          <w:color w:val="000000"/>
        </w:rPr>
        <w:t>f</w:t>
      </w:r>
      <w:r w:rsidR="00285732" w:rsidRPr="00A969CE">
        <w:rPr>
          <w:rFonts w:eastAsia="Calibri"/>
          <w:color w:val="000000"/>
        </w:rPr>
        <w:t xml:space="preserve">und or a </w:t>
      </w:r>
      <w:r w:rsidR="00C21C7A">
        <w:rPr>
          <w:rFonts w:eastAsia="Calibri"/>
          <w:color w:val="000000"/>
        </w:rPr>
        <w:t>c</w:t>
      </w:r>
      <w:r w:rsidR="00285732" w:rsidRPr="00A969CE">
        <w:rPr>
          <w:rFonts w:eastAsia="Calibri"/>
          <w:color w:val="000000"/>
        </w:rPr>
        <w:t xml:space="preserve">ommunity </w:t>
      </w:r>
      <w:r w:rsidR="00C21C7A">
        <w:rPr>
          <w:rFonts w:eastAsia="Calibri"/>
          <w:color w:val="000000"/>
        </w:rPr>
        <w:t>f</w:t>
      </w:r>
      <w:r w:rsidR="00285732" w:rsidRPr="00A969CE">
        <w:rPr>
          <w:rFonts w:eastAsia="Calibri"/>
          <w:color w:val="000000"/>
        </w:rPr>
        <w:t xml:space="preserve">oundation make a grant to UNCP from funds the donor has given to the DAF/CF. No receipt will be issued to the original donor, but the donor’s giving record will be soft credited with the value of the gift and it will be noted that the gift was made by the DAF/CF. </w:t>
      </w:r>
    </w:p>
    <w:p w14:paraId="71D9C769" w14:textId="77777777" w:rsidR="00285732" w:rsidRPr="00A969CE" w:rsidRDefault="00285732" w:rsidP="00621A43">
      <w:pPr>
        <w:widowControl/>
        <w:jc w:val="both"/>
        <w:rPr>
          <w:rFonts w:eastAsia="Calibri"/>
          <w:color w:val="000000"/>
        </w:rPr>
      </w:pPr>
    </w:p>
    <w:p w14:paraId="4AC3EE3F" w14:textId="6C56C549"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.6 Gifts in-kind of tangible personal property must be useful to the institution in fulfilling the purpose or mission for which the institution was granted tax-exempt status. The value of the gift is declared by the donor. Gifts in-kind with a value of greater than $5,000 must be appraised at a cost to the donor. Gifts of partial interest in a property are not tax deductible according to the IRS.  Therefore</w:t>
      </w:r>
      <w:r w:rsidR="00C21C7A">
        <w:rPr>
          <w:rFonts w:eastAsia="Calibri"/>
          <w:color w:val="000000"/>
        </w:rPr>
        <w:t>,</w:t>
      </w:r>
      <w:r w:rsidR="00285732" w:rsidRPr="00A969CE">
        <w:rPr>
          <w:rFonts w:eastAsia="Calibri"/>
          <w:color w:val="000000"/>
        </w:rPr>
        <w:t xml:space="preserve"> no hard credit is recorded for such gifts.</w:t>
      </w:r>
    </w:p>
    <w:p w14:paraId="5997BE54" w14:textId="77777777" w:rsidR="00285732" w:rsidRPr="00A969CE" w:rsidRDefault="00285732" w:rsidP="00621A43">
      <w:pPr>
        <w:widowControl/>
        <w:jc w:val="both"/>
        <w:rPr>
          <w:rFonts w:eastAsia="Calibri"/>
          <w:color w:val="000000"/>
        </w:rPr>
      </w:pPr>
    </w:p>
    <w:p w14:paraId="2D6D7562" w14:textId="19A7F7FE" w:rsidR="00285732"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.7 Gifts</w:t>
      </w:r>
      <w:r w:rsidR="00285732">
        <w:rPr>
          <w:rFonts w:eastAsia="Calibri"/>
          <w:color w:val="000000"/>
        </w:rPr>
        <w:t xml:space="preserve"> </w:t>
      </w:r>
      <w:r w:rsidR="00285732" w:rsidRPr="00A969CE">
        <w:rPr>
          <w:rFonts w:eastAsia="Calibri"/>
          <w:color w:val="000000"/>
        </w:rPr>
        <w:t xml:space="preserve">in-kind of services include, but are not limited to, such activities as printing of materials, appraisals, and design work, for example. These services provide valuable support to the </w:t>
      </w:r>
      <w:r w:rsidR="000F70EA">
        <w:rPr>
          <w:rFonts w:eastAsia="Calibri"/>
          <w:color w:val="000000"/>
        </w:rPr>
        <w:t>U</w:t>
      </w:r>
      <w:r w:rsidR="00285732" w:rsidRPr="00A969CE">
        <w:rPr>
          <w:rFonts w:eastAsia="Calibri"/>
          <w:color w:val="000000"/>
        </w:rPr>
        <w:t>niversity. The contribution of services, no matter how valuable to UNCP, is not tax deductible according to the IRS. Therefore</w:t>
      </w:r>
      <w:r w:rsidR="00C21C7A">
        <w:rPr>
          <w:rFonts w:eastAsia="Calibri"/>
          <w:color w:val="000000"/>
        </w:rPr>
        <w:t>,</w:t>
      </w:r>
      <w:r w:rsidR="00285732" w:rsidRPr="00A969CE">
        <w:rPr>
          <w:rFonts w:eastAsia="Calibri"/>
          <w:color w:val="000000"/>
        </w:rPr>
        <w:t xml:space="preserve"> no hard or soft credit is recorded for such gifts. </w:t>
      </w:r>
    </w:p>
    <w:p w14:paraId="5B3CF469" w14:textId="77777777" w:rsidR="00285732" w:rsidRPr="00A969CE" w:rsidRDefault="00285732" w:rsidP="00621A43">
      <w:pPr>
        <w:widowControl/>
        <w:jc w:val="both"/>
        <w:rPr>
          <w:rFonts w:eastAsia="Calibri"/>
          <w:color w:val="000000"/>
        </w:rPr>
      </w:pPr>
    </w:p>
    <w:p w14:paraId="63E890BD" w14:textId="290CED84" w:rsidR="00CF30D1" w:rsidRPr="00A969CE" w:rsidRDefault="00662C70" w:rsidP="00621A43">
      <w:pPr>
        <w:widowControl/>
        <w:jc w:val="both"/>
        <w:rPr>
          <w:rFonts w:eastAsia="Calibri"/>
          <w:color w:val="000000"/>
        </w:rPr>
      </w:pPr>
      <w:r>
        <w:rPr>
          <w:rFonts w:eastAsia="Calibri"/>
          <w:color w:val="000000"/>
        </w:rPr>
        <w:t>4</w:t>
      </w:r>
      <w:r w:rsidR="00285732" w:rsidRPr="00A969CE">
        <w:rPr>
          <w:rFonts w:eastAsia="Calibri"/>
          <w:color w:val="000000"/>
        </w:rPr>
        <w:t xml:space="preserve">.8 </w:t>
      </w:r>
      <w:r w:rsidR="001F4758">
        <w:rPr>
          <w:rFonts w:eastAsia="Calibri"/>
          <w:color w:val="000000"/>
        </w:rPr>
        <w:t>G</w:t>
      </w:r>
      <w:r w:rsidR="001F4758" w:rsidRPr="00A969CE">
        <w:rPr>
          <w:rFonts w:eastAsia="Calibri"/>
          <w:color w:val="000000"/>
        </w:rPr>
        <w:t>ifts</w:t>
      </w:r>
      <w:r w:rsidR="001F4758">
        <w:rPr>
          <w:rFonts w:eastAsia="Calibri"/>
          <w:color w:val="000000"/>
        </w:rPr>
        <w:t xml:space="preserve"> of </w:t>
      </w:r>
      <w:r>
        <w:rPr>
          <w:rFonts w:eastAsia="Calibri"/>
          <w:color w:val="000000"/>
        </w:rPr>
        <w:t>Real Propert</w:t>
      </w:r>
      <w:r w:rsidR="001F4758">
        <w:rPr>
          <w:rFonts w:eastAsia="Calibri"/>
          <w:color w:val="000000"/>
        </w:rPr>
        <w:t xml:space="preserve">y </w:t>
      </w:r>
      <w:r w:rsidRPr="00A969CE">
        <w:rPr>
          <w:rFonts w:eastAsia="Calibri"/>
          <w:color w:val="000000"/>
        </w:rPr>
        <w:t xml:space="preserve">include improved and unimproved land, residences, condominiums, apartment buildings, rental property, commercial property, woodlands, and farms. Gifts of real property can be valuable assets for furthering the mission of UNCP by enhancing the delivery of </w:t>
      </w:r>
      <w:r w:rsidR="00C21C7A" w:rsidRPr="00A969CE">
        <w:rPr>
          <w:rFonts w:eastAsia="Calibri"/>
          <w:color w:val="000000"/>
        </w:rPr>
        <w:t>high-quality</w:t>
      </w:r>
      <w:r w:rsidRPr="00A969CE">
        <w:rPr>
          <w:rFonts w:eastAsia="Calibri"/>
          <w:color w:val="000000"/>
        </w:rPr>
        <w:t xml:space="preserve"> teaching, research, and extension and engagement activities and programs. However, gifts of real property can create financial, legal and logistical obligations for the </w:t>
      </w:r>
      <w:r w:rsidR="001F4758">
        <w:rPr>
          <w:rFonts w:eastAsia="Calibri"/>
          <w:color w:val="000000"/>
        </w:rPr>
        <w:t>U</w:t>
      </w:r>
      <w:r w:rsidRPr="00A969CE">
        <w:rPr>
          <w:rFonts w:eastAsia="Calibri"/>
          <w:color w:val="000000"/>
        </w:rPr>
        <w:t xml:space="preserve">niversity, particularly if the gift is provided with the expectation or condition that the </w:t>
      </w:r>
      <w:r w:rsidR="001F4758">
        <w:rPr>
          <w:rFonts w:eastAsia="Calibri"/>
          <w:color w:val="000000"/>
        </w:rPr>
        <w:t>U</w:t>
      </w:r>
      <w:r w:rsidRPr="00A969CE">
        <w:rPr>
          <w:rFonts w:eastAsia="Calibri"/>
          <w:color w:val="000000"/>
        </w:rPr>
        <w:t>niversity retains the gift for extended periods, for specific purposes, or in a specific condition.</w:t>
      </w:r>
      <w:r>
        <w:rPr>
          <w:rFonts w:eastAsia="Calibri"/>
          <w:color w:val="000000"/>
        </w:rPr>
        <w:t xml:space="preserve"> </w:t>
      </w:r>
    </w:p>
    <w:p w14:paraId="6C059C31" w14:textId="77777777" w:rsidR="00285732" w:rsidRPr="00A969CE" w:rsidRDefault="00285732" w:rsidP="00621A43">
      <w:pPr>
        <w:widowControl/>
        <w:jc w:val="both"/>
        <w:rPr>
          <w:rFonts w:eastAsia="Calibri"/>
          <w:color w:val="000000"/>
        </w:rPr>
      </w:pPr>
    </w:p>
    <w:p w14:paraId="2E45F578" w14:textId="7000AAE8" w:rsidR="00285732" w:rsidRPr="00A969CE" w:rsidRDefault="00CF30D1" w:rsidP="00621A43">
      <w:pPr>
        <w:widowControl/>
        <w:jc w:val="both"/>
        <w:rPr>
          <w:rFonts w:eastAsia="Calibri"/>
          <w:b/>
          <w:bCs/>
          <w:color w:val="000000"/>
        </w:rPr>
      </w:pPr>
      <w:r>
        <w:rPr>
          <w:rFonts w:eastAsia="Calibri"/>
          <w:b/>
          <w:bCs/>
          <w:color w:val="000000"/>
        </w:rPr>
        <w:t>5</w:t>
      </w:r>
      <w:r w:rsidR="00285732" w:rsidRPr="00A969CE">
        <w:rPr>
          <w:rFonts w:eastAsia="Calibri"/>
          <w:b/>
          <w:bCs/>
          <w:color w:val="000000"/>
        </w:rPr>
        <w:t xml:space="preserve">. </w:t>
      </w:r>
      <w:r w:rsidR="00285732" w:rsidRPr="00A969CE">
        <w:rPr>
          <w:rFonts w:eastAsia="Calibri"/>
          <w:b/>
          <w:bCs/>
          <w:caps/>
          <w:color w:val="000000"/>
        </w:rPr>
        <w:t>Deferred Gifts</w:t>
      </w:r>
      <w:r w:rsidR="00285732" w:rsidRPr="00A969CE">
        <w:rPr>
          <w:rFonts w:eastAsia="Calibri"/>
          <w:b/>
          <w:bCs/>
          <w:color w:val="000000"/>
        </w:rPr>
        <w:t xml:space="preserve"> </w:t>
      </w:r>
    </w:p>
    <w:p w14:paraId="4CE6C533" w14:textId="77777777" w:rsidR="00285732" w:rsidRPr="00A969CE" w:rsidRDefault="00285732" w:rsidP="00621A43">
      <w:pPr>
        <w:widowControl/>
        <w:jc w:val="both"/>
        <w:rPr>
          <w:rFonts w:eastAsia="Calibri"/>
          <w:color w:val="000000"/>
        </w:rPr>
      </w:pPr>
    </w:p>
    <w:p w14:paraId="4C280FBE" w14:textId="38712F7E" w:rsidR="00285732" w:rsidRPr="00A969CE" w:rsidRDefault="00CF30D1" w:rsidP="00621A43">
      <w:pPr>
        <w:widowControl/>
        <w:jc w:val="both"/>
        <w:rPr>
          <w:rFonts w:eastAsia="Calibri"/>
          <w:color w:val="000000"/>
        </w:rPr>
      </w:pPr>
      <w:r>
        <w:rPr>
          <w:rFonts w:eastAsia="Calibri"/>
          <w:color w:val="000000"/>
        </w:rPr>
        <w:t>5</w:t>
      </w:r>
      <w:r w:rsidR="00285732" w:rsidRPr="00A969CE">
        <w:rPr>
          <w:rFonts w:eastAsia="Calibri"/>
          <w:color w:val="000000"/>
        </w:rPr>
        <w:t xml:space="preserve">.1 Deferred gifts will benefit the </w:t>
      </w:r>
      <w:r w:rsidR="001F4758">
        <w:rPr>
          <w:rFonts w:eastAsia="Calibri"/>
          <w:color w:val="000000"/>
        </w:rPr>
        <w:t>U</w:t>
      </w:r>
      <w:r w:rsidR="00285732" w:rsidRPr="00A969CE">
        <w:rPr>
          <w:rFonts w:eastAsia="Calibri"/>
          <w:color w:val="000000"/>
        </w:rPr>
        <w:t xml:space="preserve">niversity at some point in the future. Generally, these gifts are either revocable (can be changed by the donor at any time) or irrevocable (cannot be changed by the donor once the gift is made). The benefits to the donor depend on both the type of gift and if the donor retains the right to modify the gift. Types of deferred gifts </w:t>
      </w:r>
      <w:r w:rsidR="00782972" w:rsidRPr="00A969CE">
        <w:rPr>
          <w:rFonts w:eastAsia="Calibri"/>
          <w:color w:val="000000"/>
        </w:rPr>
        <w:t>include</w:t>
      </w:r>
      <w:r w:rsidR="00285732" w:rsidRPr="00A969CE">
        <w:rPr>
          <w:rFonts w:eastAsia="Calibri"/>
          <w:color w:val="000000"/>
        </w:rPr>
        <w:t xml:space="preserve"> simple bequests, charitable gift annuities, charitable remainder trusts, charitable lead trusts, life insurance, retained life estates, or naming a UNCP entity as the beneficiary of a retirement plan. </w:t>
      </w:r>
    </w:p>
    <w:p w14:paraId="37F0BA2D" w14:textId="77777777" w:rsidR="00285732" w:rsidRPr="00A969CE" w:rsidRDefault="00285732" w:rsidP="00621A43">
      <w:pPr>
        <w:widowControl/>
        <w:jc w:val="both"/>
        <w:rPr>
          <w:rFonts w:eastAsia="Calibri"/>
          <w:color w:val="000000"/>
        </w:rPr>
      </w:pPr>
    </w:p>
    <w:p w14:paraId="29231522" w14:textId="024EF4FD" w:rsidR="00285732" w:rsidRPr="00A969CE" w:rsidRDefault="00CF30D1" w:rsidP="00621A43">
      <w:pPr>
        <w:widowControl/>
        <w:jc w:val="both"/>
        <w:rPr>
          <w:rFonts w:eastAsia="Calibri"/>
          <w:b/>
          <w:bCs/>
          <w:color w:val="000000"/>
        </w:rPr>
      </w:pPr>
      <w:r>
        <w:rPr>
          <w:rFonts w:eastAsia="Calibri"/>
          <w:b/>
          <w:bCs/>
          <w:color w:val="000000"/>
        </w:rPr>
        <w:t>6</w:t>
      </w:r>
      <w:r w:rsidR="00285732" w:rsidRPr="00A969CE">
        <w:rPr>
          <w:rFonts w:eastAsia="Calibri"/>
          <w:b/>
          <w:bCs/>
          <w:color w:val="000000"/>
        </w:rPr>
        <w:t xml:space="preserve">. </w:t>
      </w:r>
      <w:r w:rsidR="00662C70">
        <w:rPr>
          <w:rFonts w:eastAsia="Calibri"/>
          <w:b/>
          <w:bCs/>
          <w:caps/>
          <w:color w:val="000000"/>
        </w:rPr>
        <w:t>Gifts and Benefits</w:t>
      </w:r>
      <w:r w:rsidR="00285732" w:rsidRPr="00A969CE">
        <w:rPr>
          <w:rFonts w:eastAsia="Calibri"/>
          <w:b/>
          <w:bCs/>
          <w:color w:val="000000"/>
        </w:rPr>
        <w:t xml:space="preserve"> </w:t>
      </w:r>
    </w:p>
    <w:p w14:paraId="41EE8973" w14:textId="77777777" w:rsidR="00285732" w:rsidRPr="00A969CE" w:rsidRDefault="00285732" w:rsidP="00621A43">
      <w:pPr>
        <w:widowControl/>
        <w:jc w:val="both"/>
        <w:rPr>
          <w:rFonts w:eastAsia="Calibri"/>
          <w:color w:val="000000"/>
        </w:rPr>
      </w:pPr>
    </w:p>
    <w:p w14:paraId="771BE148" w14:textId="2A192F2E" w:rsidR="00662C70" w:rsidRPr="00A969CE" w:rsidRDefault="00CF30D1" w:rsidP="00662C70">
      <w:pPr>
        <w:widowControl/>
        <w:jc w:val="both"/>
        <w:rPr>
          <w:rFonts w:eastAsia="Calibri"/>
          <w:color w:val="000000"/>
        </w:rPr>
      </w:pPr>
      <w:r>
        <w:rPr>
          <w:rFonts w:eastAsia="Calibri"/>
          <w:color w:val="000000"/>
        </w:rPr>
        <w:t>6</w:t>
      </w:r>
      <w:r w:rsidR="00285732" w:rsidRPr="00A969CE">
        <w:rPr>
          <w:rFonts w:eastAsia="Calibri"/>
          <w:color w:val="000000"/>
        </w:rPr>
        <w:t xml:space="preserve">.1 </w:t>
      </w:r>
      <w:r w:rsidR="00662C70" w:rsidRPr="00A969CE">
        <w:rPr>
          <w:rFonts w:eastAsia="Calibri"/>
          <w:color w:val="000000"/>
        </w:rPr>
        <w:t xml:space="preserve">Whenever the donor is provided something in exchange for </w:t>
      </w:r>
      <w:r w:rsidR="004607CF">
        <w:rPr>
          <w:rFonts w:eastAsia="Calibri"/>
          <w:color w:val="000000"/>
        </w:rPr>
        <w:t>a</w:t>
      </w:r>
      <w:r w:rsidR="00662C70" w:rsidRPr="00A969CE">
        <w:rPr>
          <w:rFonts w:eastAsia="Calibri"/>
          <w:color w:val="000000"/>
        </w:rPr>
        <w:t xml:space="preserve"> gift such as tickets for a dinner, concert, or other event, the portion of the gift that reflects the value of the benefit is not tax-deductible.  The </w:t>
      </w:r>
      <w:r w:rsidR="00662C70">
        <w:rPr>
          <w:rFonts w:eastAsia="Calibri"/>
          <w:color w:val="000000"/>
        </w:rPr>
        <w:t xml:space="preserve">Office of Advancement is responsible for providing the donor with the </w:t>
      </w:r>
      <w:r w:rsidR="00662C70" w:rsidRPr="00A969CE">
        <w:rPr>
          <w:rFonts w:eastAsia="Calibri"/>
          <w:color w:val="000000"/>
        </w:rPr>
        <w:t xml:space="preserve">fair market value associated with the benefit so the amount can be noted in the donor’s receipt.  It is the responsibility of the office sponsoring the event to retain the records proving the value of the ticket, dinner, or other tangible benefit for IRS purposes. Failure to keep the information could result in fines and potential loss of tax-exempt status. </w:t>
      </w:r>
    </w:p>
    <w:p w14:paraId="7376A945" w14:textId="77777777" w:rsidR="00285732" w:rsidRDefault="00285732" w:rsidP="00621A43">
      <w:pPr>
        <w:widowControl/>
        <w:jc w:val="both"/>
        <w:rPr>
          <w:rFonts w:eastAsia="Calibri"/>
          <w:color w:val="000000"/>
        </w:rPr>
      </w:pPr>
    </w:p>
    <w:p w14:paraId="7AF4B3E4" w14:textId="77777777" w:rsidR="00CF30D1" w:rsidRPr="00A969CE" w:rsidRDefault="00CF30D1" w:rsidP="00621A43">
      <w:pPr>
        <w:widowControl/>
        <w:jc w:val="both"/>
        <w:rPr>
          <w:rFonts w:eastAsia="Calibri"/>
          <w:color w:val="000000"/>
        </w:rPr>
      </w:pPr>
    </w:p>
    <w:p w14:paraId="18A63A93" w14:textId="5F8243A2" w:rsidR="00285732" w:rsidRPr="00A969CE" w:rsidRDefault="00CF30D1" w:rsidP="00621A43">
      <w:pPr>
        <w:widowControl/>
        <w:jc w:val="both"/>
        <w:rPr>
          <w:rFonts w:eastAsia="Calibri"/>
          <w:b/>
          <w:bCs/>
          <w:caps/>
          <w:color w:val="000000"/>
        </w:rPr>
      </w:pPr>
      <w:r>
        <w:rPr>
          <w:rFonts w:eastAsia="Calibri"/>
          <w:b/>
          <w:bCs/>
          <w:color w:val="000000"/>
        </w:rPr>
        <w:t>7</w:t>
      </w:r>
      <w:r w:rsidR="00285732" w:rsidRPr="00A969CE">
        <w:rPr>
          <w:rFonts w:eastAsia="Calibri"/>
          <w:b/>
          <w:bCs/>
          <w:color w:val="000000"/>
        </w:rPr>
        <w:t xml:space="preserve">. </w:t>
      </w:r>
      <w:r w:rsidR="00285732" w:rsidRPr="00A969CE">
        <w:rPr>
          <w:rFonts w:eastAsia="Calibri"/>
          <w:b/>
          <w:bCs/>
          <w:caps/>
          <w:color w:val="000000"/>
        </w:rPr>
        <w:t xml:space="preserve">Gifts that warrant further review and approval by the Vice Chancellors </w:t>
      </w:r>
    </w:p>
    <w:p w14:paraId="3C21DFE9" w14:textId="77777777" w:rsidR="00285732" w:rsidRPr="00A969CE" w:rsidRDefault="00285732" w:rsidP="00621A43">
      <w:pPr>
        <w:widowControl/>
        <w:jc w:val="both"/>
        <w:rPr>
          <w:rFonts w:eastAsia="Calibri"/>
          <w:color w:val="000000"/>
        </w:rPr>
      </w:pPr>
    </w:p>
    <w:p w14:paraId="7A97C48F" w14:textId="226918B9"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.1 Gifts of personal property if they are not to be used by the </w:t>
      </w:r>
      <w:r w:rsidR="001F4758">
        <w:rPr>
          <w:rFonts w:eastAsia="Calibri"/>
          <w:color w:val="000000"/>
        </w:rPr>
        <w:t>U</w:t>
      </w:r>
      <w:r w:rsidR="00285732" w:rsidRPr="00A969CE">
        <w:rPr>
          <w:rFonts w:eastAsia="Calibri"/>
          <w:color w:val="000000"/>
        </w:rPr>
        <w:t xml:space="preserve">niversity; </w:t>
      </w:r>
    </w:p>
    <w:p w14:paraId="2B5C96C4" w14:textId="77777777" w:rsidR="00285732" w:rsidRPr="00A969CE" w:rsidRDefault="00285732" w:rsidP="00621A43">
      <w:pPr>
        <w:widowControl/>
        <w:jc w:val="both"/>
        <w:rPr>
          <w:rFonts w:eastAsia="Calibri"/>
          <w:color w:val="000000"/>
        </w:rPr>
      </w:pPr>
    </w:p>
    <w:p w14:paraId="1A109793" w14:textId="34E62BA7"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.2 All gifts of real or personal property subject to donor restrictions regarding the disposal of such property; </w:t>
      </w:r>
    </w:p>
    <w:p w14:paraId="0993A8FD" w14:textId="77777777" w:rsidR="00285732" w:rsidRPr="00A969CE" w:rsidRDefault="00285732" w:rsidP="00621A43">
      <w:pPr>
        <w:widowControl/>
        <w:jc w:val="both"/>
        <w:rPr>
          <w:rFonts w:eastAsia="Calibri"/>
          <w:color w:val="000000"/>
        </w:rPr>
      </w:pPr>
    </w:p>
    <w:p w14:paraId="00C6A970" w14:textId="20C2051C"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.3 Any bargain sale of property where a gift element is associated with the acquisition of property by the </w:t>
      </w:r>
      <w:r w:rsidR="001F4758">
        <w:rPr>
          <w:rFonts w:eastAsia="Calibri"/>
          <w:color w:val="000000"/>
        </w:rPr>
        <w:t>U</w:t>
      </w:r>
      <w:r w:rsidR="00285732" w:rsidRPr="00A969CE">
        <w:rPr>
          <w:rFonts w:eastAsia="Calibri"/>
          <w:color w:val="000000"/>
        </w:rPr>
        <w:t xml:space="preserve">niversity or university associated entity below its fair market value; </w:t>
      </w:r>
    </w:p>
    <w:p w14:paraId="605ED1A7" w14:textId="77777777" w:rsidR="00285732" w:rsidRPr="00A969CE" w:rsidRDefault="00285732" w:rsidP="00621A43">
      <w:pPr>
        <w:widowControl/>
        <w:jc w:val="both"/>
        <w:rPr>
          <w:rFonts w:eastAsia="Calibri"/>
          <w:color w:val="000000"/>
        </w:rPr>
      </w:pPr>
    </w:p>
    <w:p w14:paraId="309DD4B4" w14:textId="4E4ACE06"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.4 Cash gifts with significant donor restrictions; </w:t>
      </w:r>
    </w:p>
    <w:p w14:paraId="31F5C4F3" w14:textId="77777777" w:rsidR="00285732" w:rsidRPr="00A969CE" w:rsidRDefault="00285732" w:rsidP="00621A43">
      <w:pPr>
        <w:widowControl/>
        <w:jc w:val="both"/>
        <w:rPr>
          <w:rFonts w:eastAsia="Calibri"/>
          <w:color w:val="000000"/>
        </w:rPr>
      </w:pPr>
    </w:p>
    <w:p w14:paraId="3C9163A9" w14:textId="26CEA7A1"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.5 All gifts of unusual items or gifts of questionable value; and</w:t>
      </w:r>
    </w:p>
    <w:p w14:paraId="30A92BE1" w14:textId="77777777" w:rsidR="00285732" w:rsidRPr="00A969CE" w:rsidRDefault="00285732" w:rsidP="00621A43">
      <w:pPr>
        <w:widowControl/>
        <w:jc w:val="both"/>
        <w:rPr>
          <w:rFonts w:eastAsia="Calibri"/>
          <w:color w:val="000000"/>
        </w:rPr>
      </w:pPr>
    </w:p>
    <w:p w14:paraId="65051647" w14:textId="14283C1C"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.6 All gifts that require additional expenditures by the </w:t>
      </w:r>
      <w:r w:rsidR="001F4758">
        <w:rPr>
          <w:rFonts w:eastAsia="Calibri"/>
          <w:color w:val="000000"/>
        </w:rPr>
        <w:t>U</w:t>
      </w:r>
      <w:r w:rsidR="00285732" w:rsidRPr="00A969CE">
        <w:rPr>
          <w:rFonts w:eastAsia="Calibri"/>
          <w:color w:val="000000"/>
        </w:rPr>
        <w:t>niversity.</w:t>
      </w:r>
    </w:p>
    <w:p w14:paraId="0F347CD6" w14:textId="77777777" w:rsidR="00285732" w:rsidRPr="00A969CE" w:rsidRDefault="00285732" w:rsidP="00621A43">
      <w:pPr>
        <w:widowControl/>
        <w:jc w:val="both"/>
        <w:rPr>
          <w:rFonts w:eastAsia="Calibri"/>
          <w:color w:val="000000"/>
        </w:rPr>
      </w:pPr>
    </w:p>
    <w:p w14:paraId="6BA5C574" w14:textId="3E1E7F7F" w:rsidR="00285732" w:rsidRPr="00A969CE" w:rsidRDefault="00CF30D1" w:rsidP="00621A43">
      <w:pPr>
        <w:widowControl/>
        <w:jc w:val="both"/>
        <w:rPr>
          <w:rFonts w:eastAsia="Calibri"/>
          <w:color w:val="000000"/>
        </w:rPr>
      </w:pPr>
      <w:r>
        <w:rPr>
          <w:rFonts w:eastAsia="Calibri"/>
          <w:color w:val="000000"/>
        </w:rPr>
        <w:t>7</w:t>
      </w:r>
      <w:r w:rsidR="00285732" w:rsidRPr="00A969CE">
        <w:rPr>
          <w:rFonts w:eastAsia="Calibri"/>
          <w:color w:val="000000"/>
        </w:rPr>
        <w:t xml:space="preserve">.6.1 Development officers should contact </w:t>
      </w:r>
      <w:r>
        <w:rPr>
          <w:rFonts w:eastAsia="Calibri"/>
          <w:color w:val="000000"/>
        </w:rPr>
        <w:t>Foundation Operations</w:t>
      </w:r>
      <w:r w:rsidR="00285732" w:rsidRPr="00A969CE">
        <w:rPr>
          <w:rFonts w:eastAsia="Calibri"/>
          <w:color w:val="000000"/>
        </w:rPr>
        <w:t xml:space="preserve"> for assistance with gifts in this category as all will require prior approval by the </w:t>
      </w:r>
      <w:r w:rsidR="00285732">
        <w:rPr>
          <w:rFonts w:eastAsia="Calibri"/>
          <w:color w:val="000000"/>
        </w:rPr>
        <w:t>vice</w:t>
      </w:r>
      <w:r w:rsidR="00285732" w:rsidRPr="00A969CE">
        <w:rPr>
          <w:rFonts w:eastAsia="Calibri"/>
          <w:color w:val="000000"/>
        </w:rPr>
        <w:t xml:space="preserve"> </w:t>
      </w:r>
      <w:r w:rsidR="00285732">
        <w:rPr>
          <w:rFonts w:eastAsia="Calibri"/>
          <w:color w:val="000000"/>
        </w:rPr>
        <w:t>chancellor</w:t>
      </w:r>
      <w:r w:rsidR="00285732" w:rsidRPr="00A969CE">
        <w:rPr>
          <w:rFonts w:eastAsia="Calibri"/>
          <w:color w:val="000000"/>
        </w:rPr>
        <w:t xml:space="preserve">s </w:t>
      </w:r>
      <w:r w:rsidR="009C3D08">
        <w:rPr>
          <w:rFonts w:eastAsia="Calibri"/>
          <w:color w:val="000000"/>
        </w:rPr>
        <w:t>of</w:t>
      </w:r>
      <w:r w:rsidR="00285732" w:rsidRPr="00A969CE">
        <w:rPr>
          <w:rFonts w:eastAsia="Calibri"/>
          <w:color w:val="000000"/>
        </w:rPr>
        <w:t xml:space="preserve"> Advancement and Finance and </w:t>
      </w:r>
      <w:r w:rsidR="00285732">
        <w:rPr>
          <w:rFonts w:eastAsia="Calibri"/>
          <w:color w:val="000000"/>
        </w:rPr>
        <w:t>Administration</w:t>
      </w:r>
      <w:r w:rsidR="00285732" w:rsidRPr="00A969CE">
        <w:rPr>
          <w:rFonts w:eastAsia="Calibri"/>
          <w:color w:val="000000"/>
        </w:rPr>
        <w:t xml:space="preserve">. </w:t>
      </w:r>
    </w:p>
    <w:p w14:paraId="75FBF2DE" w14:textId="77777777" w:rsidR="00285732" w:rsidRPr="00A969CE" w:rsidRDefault="00285732" w:rsidP="00621A43">
      <w:pPr>
        <w:widowControl/>
        <w:autoSpaceDE/>
        <w:autoSpaceDN/>
        <w:adjustRightInd/>
        <w:jc w:val="both"/>
        <w:rPr>
          <w:color w:val="000000"/>
          <w:lang w:val="en"/>
        </w:rPr>
      </w:pPr>
    </w:p>
    <w:p w14:paraId="5DA12DF3" w14:textId="2CAA4879" w:rsidR="00285732" w:rsidRPr="00A969CE" w:rsidRDefault="00CF30D1" w:rsidP="00621A43">
      <w:pPr>
        <w:widowControl/>
        <w:autoSpaceDE/>
        <w:autoSpaceDN/>
        <w:adjustRightInd/>
        <w:jc w:val="both"/>
        <w:rPr>
          <w:b/>
          <w:bCs/>
          <w:color w:val="000000"/>
          <w:lang w:val="en"/>
        </w:rPr>
      </w:pPr>
      <w:r>
        <w:rPr>
          <w:b/>
          <w:bCs/>
          <w:color w:val="000000"/>
          <w:lang w:val="en"/>
        </w:rPr>
        <w:t>8</w:t>
      </w:r>
      <w:r w:rsidR="00285732" w:rsidRPr="00A969CE">
        <w:rPr>
          <w:b/>
          <w:bCs/>
          <w:color w:val="000000"/>
          <w:lang w:val="en"/>
        </w:rPr>
        <w:t xml:space="preserve">. </w:t>
      </w:r>
      <w:r w:rsidR="00662C70">
        <w:rPr>
          <w:b/>
          <w:bCs/>
          <w:color w:val="000000"/>
          <w:lang w:val="en"/>
        </w:rPr>
        <w:t xml:space="preserve">GIFT ACCEPTANCE </w:t>
      </w:r>
      <w:r w:rsidR="00285732" w:rsidRPr="00A969CE">
        <w:rPr>
          <w:b/>
          <w:bCs/>
          <w:color w:val="000000"/>
          <w:lang w:val="en"/>
        </w:rPr>
        <w:t>PRINCIPLES</w:t>
      </w:r>
    </w:p>
    <w:p w14:paraId="0B6CB47F" w14:textId="77777777" w:rsidR="00285732" w:rsidRPr="00A969CE" w:rsidRDefault="00285732" w:rsidP="00621A43">
      <w:pPr>
        <w:widowControl/>
        <w:autoSpaceDE/>
        <w:autoSpaceDN/>
        <w:adjustRightInd/>
        <w:jc w:val="both"/>
        <w:rPr>
          <w:color w:val="000000"/>
          <w:lang w:val="en"/>
        </w:rPr>
      </w:pPr>
    </w:p>
    <w:p w14:paraId="64553138" w14:textId="0C47804A" w:rsidR="00285732" w:rsidRPr="00A969CE" w:rsidRDefault="00CF30D1" w:rsidP="00621A43">
      <w:pPr>
        <w:widowControl/>
        <w:autoSpaceDE/>
        <w:autoSpaceDN/>
        <w:adjustRightInd/>
        <w:jc w:val="both"/>
        <w:rPr>
          <w:color w:val="000000"/>
          <w:lang w:val="en"/>
        </w:rPr>
      </w:pPr>
      <w:r>
        <w:rPr>
          <w:color w:val="000000"/>
          <w:lang w:val="en"/>
        </w:rPr>
        <w:t>8</w:t>
      </w:r>
      <w:r w:rsidR="00285732" w:rsidRPr="00A969CE">
        <w:rPr>
          <w:color w:val="000000"/>
          <w:lang w:val="en"/>
        </w:rPr>
        <w:t xml:space="preserve">.1 The </w:t>
      </w:r>
      <w:r w:rsidR="001F4758">
        <w:rPr>
          <w:color w:val="000000"/>
          <w:lang w:val="en"/>
        </w:rPr>
        <w:t>U</w:t>
      </w:r>
      <w:r w:rsidR="00285732" w:rsidRPr="00A969CE">
        <w:rPr>
          <w:color w:val="000000"/>
          <w:lang w:val="en"/>
        </w:rPr>
        <w:t>niversity will assess the financial desirability of receiving assets as private gifts from potential donors and determine whether to accept a gift as offered.</w:t>
      </w:r>
    </w:p>
    <w:p w14:paraId="334E1D51" w14:textId="77777777" w:rsidR="00285732" w:rsidRPr="00A969CE" w:rsidRDefault="00285732" w:rsidP="00621A43">
      <w:pPr>
        <w:widowControl/>
        <w:autoSpaceDE/>
        <w:autoSpaceDN/>
        <w:adjustRightInd/>
        <w:jc w:val="both"/>
        <w:rPr>
          <w:color w:val="000000"/>
          <w:lang w:val="en"/>
        </w:rPr>
      </w:pPr>
    </w:p>
    <w:p w14:paraId="56C77C73" w14:textId="25CBAC10" w:rsidR="00285732" w:rsidRPr="00A969CE" w:rsidRDefault="00CF30D1" w:rsidP="00621A43">
      <w:pPr>
        <w:widowControl/>
        <w:autoSpaceDE/>
        <w:autoSpaceDN/>
        <w:adjustRightInd/>
        <w:jc w:val="both"/>
        <w:rPr>
          <w:color w:val="000000"/>
          <w:lang w:val="en"/>
        </w:rPr>
      </w:pPr>
      <w:r>
        <w:rPr>
          <w:color w:val="000000"/>
          <w:lang w:val="en"/>
        </w:rPr>
        <w:t>8</w:t>
      </w:r>
      <w:r w:rsidR="00285732" w:rsidRPr="00A969CE">
        <w:rPr>
          <w:color w:val="000000"/>
          <w:lang w:val="en"/>
        </w:rPr>
        <w:t xml:space="preserve">.2 The </w:t>
      </w:r>
      <w:r w:rsidR="001F4758">
        <w:rPr>
          <w:color w:val="000000"/>
          <w:lang w:val="en"/>
        </w:rPr>
        <w:t>U</w:t>
      </w:r>
      <w:r w:rsidR="00285732" w:rsidRPr="00A969CE">
        <w:rPr>
          <w:color w:val="000000"/>
          <w:lang w:val="en"/>
        </w:rPr>
        <w:t xml:space="preserve">niversity reserves the right to refuse any gift including gifts that are too restrictive in purpose, require expenditures beyond their resources or that compromise the academic freedom of the </w:t>
      </w:r>
      <w:r w:rsidR="001F4758">
        <w:rPr>
          <w:color w:val="000000"/>
          <w:lang w:val="en"/>
        </w:rPr>
        <w:t>U</w:t>
      </w:r>
      <w:r w:rsidR="00285732" w:rsidRPr="00A969CE">
        <w:rPr>
          <w:color w:val="000000"/>
          <w:lang w:val="en"/>
        </w:rPr>
        <w:t>niversity community.</w:t>
      </w:r>
    </w:p>
    <w:p w14:paraId="3DFE2151" w14:textId="77777777" w:rsidR="00285732" w:rsidRPr="00A969CE" w:rsidRDefault="00285732" w:rsidP="00621A43">
      <w:pPr>
        <w:widowControl/>
        <w:autoSpaceDE/>
        <w:autoSpaceDN/>
        <w:adjustRightInd/>
        <w:jc w:val="both"/>
        <w:rPr>
          <w:color w:val="000000"/>
          <w:lang w:val="en"/>
        </w:rPr>
      </w:pPr>
    </w:p>
    <w:p w14:paraId="5950FC96" w14:textId="11CD48E5" w:rsidR="00285732" w:rsidRPr="00A969CE" w:rsidRDefault="00CF30D1" w:rsidP="00621A43">
      <w:pPr>
        <w:widowControl/>
        <w:autoSpaceDE/>
        <w:autoSpaceDN/>
        <w:adjustRightInd/>
        <w:jc w:val="both"/>
        <w:rPr>
          <w:color w:val="000000"/>
          <w:lang w:val="en"/>
        </w:rPr>
      </w:pPr>
      <w:r>
        <w:rPr>
          <w:color w:val="000000"/>
          <w:lang w:val="en"/>
        </w:rPr>
        <w:t>8</w:t>
      </w:r>
      <w:r w:rsidR="00285732" w:rsidRPr="00A969CE">
        <w:rPr>
          <w:color w:val="000000"/>
          <w:lang w:val="en"/>
        </w:rPr>
        <w:t xml:space="preserve">.3 The </w:t>
      </w:r>
      <w:r w:rsidR="001F4758">
        <w:rPr>
          <w:color w:val="000000"/>
          <w:lang w:val="en"/>
        </w:rPr>
        <w:t>U</w:t>
      </w:r>
      <w:r w:rsidR="00285732" w:rsidRPr="00A969CE">
        <w:rPr>
          <w:color w:val="000000"/>
          <w:lang w:val="en"/>
        </w:rPr>
        <w:t>niversity cannot accept gifts that involve unlawful discrimination based on race, religion, sex, age, national origin, color, handicap, or any other basis prohibited by federal, state, and local laws and regulations.</w:t>
      </w:r>
    </w:p>
    <w:p w14:paraId="12F6F05E" w14:textId="77777777" w:rsidR="00285732" w:rsidRPr="00A969CE" w:rsidRDefault="00285732" w:rsidP="00621A43">
      <w:pPr>
        <w:widowControl/>
        <w:autoSpaceDE/>
        <w:autoSpaceDN/>
        <w:adjustRightInd/>
        <w:jc w:val="both"/>
        <w:rPr>
          <w:color w:val="000000"/>
          <w:lang w:val="en"/>
        </w:rPr>
      </w:pPr>
    </w:p>
    <w:p w14:paraId="267012E0" w14:textId="3D24E1C0" w:rsidR="00285732" w:rsidRDefault="00CF30D1" w:rsidP="00621A43">
      <w:pPr>
        <w:widowControl/>
        <w:autoSpaceDE/>
        <w:autoSpaceDN/>
        <w:adjustRightInd/>
        <w:jc w:val="both"/>
        <w:rPr>
          <w:color w:val="000000"/>
          <w:lang w:val="en"/>
        </w:rPr>
      </w:pPr>
      <w:r>
        <w:rPr>
          <w:color w:val="000000"/>
          <w:lang w:val="en"/>
        </w:rPr>
        <w:t>8</w:t>
      </w:r>
      <w:r w:rsidR="00285732" w:rsidRPr="00A969CE">
        <w:rPr>
          <w:color w:val="000000"/>
          <w:lang w:val="en"/>
        </w:rPr>
        <w:t xml:space="preserve">.4 While valuable benefits, particularly tax and financial considerations, may accrue to donors in certain circumstances, the donor must have a donative intent as a primary motive for making a gift to the </w:t>
      </w:r>
      <w:r w:rsidR="001F4758">
        <w:rPr>
          <w:color w:val="000000"/>
          <w:lang w:val="en"/>
        </w:rPr>
        <w:t>U</w:t>
      </w:r>
      <w:r w:rsidR="00285732" w:rsidRPr="00A969CE">
        <w:rPr>
          <w:color w:val="000000"/>
          <w:lang w:val="en"/>
        </w:rPr>
        <w:t xml:space="preserve">niversity directly or to an associated entity. Donative intent is the intention to give away something of value for the benefit of the university. Funds received by the </w:t>
      </w:r>
      <w:r w:rsidR="001F4758">
        <w:rPr>
          <w:color w:val="000000"/>
          <w:lang w:val="en"/>
        </w:rPr>
        <w:t>U</w:t>
      </w:r>
      <w:r w:rsidR="00285732" w:rsidRPr="00A969CE">
        <w:rPr>
          <w:color w:val="000000"/>
          <w:lang w:val="en"/>
        </w:rPr>
        <w:t xml:space="preserve">niversity or by an associated entity for the benefit of the </w:t>
      </w:r>
      <w:r w:rsidR="001F4758">
        <w:rPr>
          <w:color w:val="000000"/>
          <w:lang w:val="en"/>
        </w:rPr>
        <w:t>U</w:t>
      </w:r>
      <w:r w:rsidR="00285732" w:rsidRPr="00A969CE">
        <w:rPr>
          <w:color w:val="000000"/>
          <w:lang w:val="en"/>
        </w:rPr>
        <w:t>niversity shall only be accounted for as gifts where such donative intent is present. Amounts received in exchange for services or property shall not be accounted for as gifts. Amounts received that result in tangible benefits to the donor in the form of recognition items, tickets to events, and similar forms of thank-you gifts will be accepted, processed and receipted in accordance with applicable IRS regulations.</w:t>
      </w:r>
    </w:p>
    <w:p w14:paraId="3490F537" w14:textId="77777777" w:rsidR="00D00B16" w:rsidRDefault="00D00B16" w:rsidP="00621A43">
      <w:pPr>
        <w:widowControl/>
        <w:autoSpaceDE/>
        <w:autoSpaceDN/>
        <w:adjustRightInd/>
        <w:jc w:val="both"/>
        <w:rPr>
          <w:color w:val="000000"/>
          <w:lang w:val="en"/>
        </w:rPr>
      </w:pPr>
    </w:p>
    <w:p w14:paraId="381C10A7" w14:textId="7F2A1FB1" w:rsidR="00D00B16" w:rsidRPr="00A969CE" w:rsidRDefault="00CF30D1" w:rsidP="00621A43">
      <w:pPr>
        <w:widowControl/>
        <w:autoSpaceDE/>
        <w:autoSpaceDN/>
        <w:adjustRightInd/>
        <w:jc w:val="both"/>
        <w:rPr>
          <w:color w:val="000000"/>
          <w:lang w:val="en"/>
        </w:rPr>
      </w:pPr>
      <w:r>
        <w:rPr>
          <w:color w:val="000000"/>
          <w:lang w:val="en"/>
        </w:rPr>
        <w:t>8</w:t>
      </w:r>
      <w:r w:rsidR="00D00B16">
        <w:rPr>
          <w:color w:val="000000"/>
          <w:lang w:val="en"/>
        </w:rPr>
        <w:t xml:space="preserve">.5 </w:t>
      </w:r>
      <w:r w:rsidR="00D00B16" w:rsidRPr="00D00B16">
        <w:rPr>
          <w:color w:val="000000"/>
          <w:lang w:val="en"/>
        </w:rPr>
        <w:t xml:space="preserve">A donor may not retain any </w:t>
      </w:r>
      <w:r w:rsidR="00D00B16">
        <w:rPr>
          <w:color w:val="000000"/>
          <w:lang w:val="en"/>
        </w:rPr>
        <w:t xml:space="preserve">explicit or </w:t>
      </w:r>
      <w:r w:rsidR="00D00B16" w:rsidRPr="00D00B16">
        <w:rPr>
          <w:color w:val="000000"/>
          <w:lang w:val="en"/>
        </w:rPr>
        <w:t xml:space="preserve">implicit control over a gift after acceptance by the </w:t>
      </w:r>
      <w:r w:rsidR="001F4758">
        <w:rPr>
          <w:color w:val="000000"/>
          <w:lang w:val="en"/>
        </w:rPr>
        <w:t>U</w:t>
      </w:r>
      <w:r w:rsidR="00D00B16" w:rsidRPr="00D00B16">
        <w:rPr>
          <w:color w:val="000000"/>
          <w:lang w:val="en"/>
        </w:rPr>
        <w:t xml:space="preserve">niversity. A donor may certainly suggest or restrict the gift to a </w:t>
      </w:r>
      <w:proofErr w:type="gramStart"/>
      <w:r w:rsidR="00D00B16" w:rsidRPr="00D00B16">
        <w:rPr>
          <w:color w:val="000000"/>
          <w:lang w:val="en"/>
        </w:rPr>
        <w:t>particular area</w:t>
      </w:r>
      <w:proofErr w:type="gramEnd"/>
      <w:r w:rsidR="00D00B16" w:rsidRPr="00D00B16">
        <w:rPr>
          <w:color w:val="000000"/>
          <w:lang w:val="en"/>
        </w:rPr>
        <w:t xml:space="preserve"> of the </w:t>
      </w:r>
      <w:r w:rsidR="001F4758">
        <w:rPr>
          <w:color w:val="000000"/>
          <w:lang w:val="en"/>
        </w:rPr>
        <w:t>U</w:t>
      </w:r>
      <w:r w:rsidR="00D00B16" w:rsidRPr="00D00B16">
        <w:rPr>
          <w:color w:val="000000"/>
          <w:lang w:val="en"/>
        </w:rPr>
        <w:t>niversity. For a gift to be considered a gift, no further involvement on the part of the donor is appropriate upon gift acceptance.</w:t>
      </w:r>
    </w:p>
    <w:p w14:paraId="27B7B00F" w14:textId="77777777" w:rsidR="00285732" w:rsidRPr="00A969CE" w:rsidRDefault="00285732" w:rsidP="00621A43">
      <w:pPr>
        <w:widowControl/>
        <w:autoSpaceDE/>
        <w:autoSpaceDN/>
        <w:adjustRightInd/>
        <w:jc w:val="both"/>
        <w:rPr>
          <w:color w:val="000000"/>
          <w:lang w:val="en"/>
        </w:rPr>
      </w:pPr>
    </w:p>
    <w:p w14:paraId="4CE9FDAD" w14:textId="0E0EBDAB" w:rsidR="00285732" w:rsidRPr="00A969CE" w:rsidRDefault="00CF30D1" w:rsidP="00621A43">
      <w:pPr>
        <w:widowControl/>
        <w:autoSpaceDE/>
        <w:autoSpaceDN/>
        <w:adjustRightInd/>
        <w:jc w:val="both"/>
        <w:rPr>
          <w:b/>
          <w:bCs/>
          <w:color w:val="000000"/>
          <w:lang w:val="en"/>
        </w:rPr>
      </w:pPr>
      <w:r>
        <w:rPr>
          <w:b/>
          <w:bCs/>
          <w:color w:val="000000"/>
          <w:lang w:val="en"/>
        </w:rPr>
        <w:t>9</w:t>
      </w:r>
      <w:r w:rsidR="00285732" w:rsidRPr="00A969CE">
        <w:rPr>
          <w:b/>
          <w:bCs/>
          <w:color w:val="000000"/>
          <w:lang w:val="en"/>
        </w:rPr>
        <w:t>. REGULATIONS, RULES, AND STANDARD OPERATING PROCEDURES</w:t>
      </w:r>
    </w:p>
    <w:p w14:paraId="47B5A19A" w14:textId="77777777" w:rsidR="00285732" w:rsidRPr="00A969CE" w:rsidRDefault="00285732" w:rsidP="00621A43">
      <w:pPr>
        <w:widowControl/>
        <w:autoSpaceDE/>
        <w:autoSpaceDN/>
        <w:adjustRightInd/>
        <w:jc w:val="both"/>
        <w:rPr>
          <w:color w:val="000000"/>
          <w:lang w:val="en"/>
        </w:rPr>
      </w:pPr>
    </w:p>
    <w:p w14:paraId="1E055CED" w14:textId="02211BEB" w:rsidR="00285732" w:rsidRDefault="00CF30D1" w:rsidP="00621A43">
      <w:pPr>
        <w:pStyle w:val="BodyTextIndent"/>
        <w:ind w:left="0" w:firstLine="0"/>
        <w:rPr>
          <w:sz w:val="16"/>
          <w:szCs w:val="16"/>
        </w:rPr>
      </w:pPr>
      <w:r>
        <w:rPr>
          <w:b w:val="0"/>
          <w:color w:val="000000"/>
          <w:lang w:val="en"/>
        </w:rPr>
        <w:t>9</w:t>
      </w:r>
      <w:r w:rsidR="00285732" w:rsidRPr="00A969CE">
        <w:rPr>
          <w:b w:val="0"/>
          <w:color w:val="000000"/>
          <w:lang w:val="en"/>
        </w:rPr>
        <w:t xml:space="preserve">.1 The </w:t>
      </w:r>
      <w:r w:rsidR="00285732">
        <w:rPr>
          <w:b w:val="0"/>
          <w:color w:val="000000"/>
          <w:lang w:val="en"/>
        </w:rPr>
        <w:t>chancellor</w:t>
      </w:r>
      <w:r w:rsidR="00285732" w:rsidRPr="00A969CE">
        <w:rPr>
          <w:b w:val="0"/>
          <w:color w:val="000000"/>
          <w:lang w:val="en"/>
        </w:rPr>
        <w:t xml:space="preserve"> or </w:t>
      </w:r>
      <w:r w:rsidR="00285732">
        <w:rPr>
          <w:b w:val="0"/>
          <w:color w:val="000000"/>
          <w:lang w:val="en"/>
        </w:rPr>
        <w:t>chancellor</w:t>
      </w:r>
      <w:r w:rsidR="00285732" w:rsidRPr="00A969CE">
        <w:rPr>
          <w:b w:val="0"/>
          <w:color w:val="000000"/>
          <w:lang w:val="en"/>
        </w:rPr>
        <w:t xml:space="preserve">’s designee may adopt procedures for the acceptance of gifts to ensure that private gifts to the </w:t>
      </w:r>
      <w:r w:rsidR="001F4758">
        <w:rPr>
          <w:b w:val="0"/>
          <w:color w:val="000000"/>
          <w:lang w:val="en"/>
        </w:rPr>
        <w:t>U</w:t>
      </w:r>
      <w:r w:rsidR="00285732" w:rsidRPr="00A969CE">
        <w:rPr>
          <w:b w:val="0"/>
          <w:color w:val="000000"/>
          <w:lang w:val="en"/>
        </w:rPr>
        <w:t xml:space="preserve">niversity are properly </w:t>
      </w:r>
      <w:r w:rsidR="008F0CB9">
        <w:rPr>
          <w:b w:val="0"/>
          <w:color w:val="000000"/>
          <w:lang w:val="en"/>
        </w:rPr>
        <w:t>record</w:t>
      </w:r>
      <w:r w:rsidR="00285732" w:rsidRPr="00A969CE">
        <w:rPr>
          <w:b w:val="0"/>
          <w:color w:val="000000"/>
          <w:lang w:val="en"/>
        </w:rPr>
        <w:t xml:space="preserve">ed and administered using appropriate </w:t>
      </w:r>
      <w:r w:rsidR="00285732" w:rsidRPr="00A969CE">
        <w:rPr>
          <w:b w:val="0"/>
          <w:color w:val="000000"/>
          <w:lang w:val="en"/>
        </w:rPr>
        <w:lastRenderedPageBreak/>
        <w:t xml:space="preserve">internal controls and sound financial business practices; and to ensure that the acceptance and management of gifts are handled in compliance with external regulations and the </w:t>
      </w:r>
      <w:r w:rsidR="001F4758">
        <w:rPr>
          <w:b w:val="0"/>
          <w:color w:val="000000"/>
          <w:lang w:val="en"/>
        </w:rPr>
        <w:t>U</w:t>
      </w:r>
      <w:r w:rsidR="00285732" w:rsidRPr="00A969CE">
        <w:rPr>
          <w:b w:val="0"/>
          <w:color w:val="000000"/>
          <w:lang w:val="en"/>
        </w:rPr>
        <w:t xml:space="preserve">niversity’s fiduciary obligations to donors. Such procedures must comply with applicable federal and state laws and be consistent with this policy and other applicable </w:t>
      </w:r>
      <w:r w:rsidR="001F4758">
        <w:rPr>
          <w:b w:val="0"/>
          <w:color w:val="000000"/>
          <w:lang w:val="en"/>
        </w:rPr>
        <w:t>u</w:t>
      </w:r>
      <w:r w:rsidR="00285732" w:rsidRPr="00A969CE">
        <w:rPr>
          <w:b w:val="0"/>
          <w:color w:val="000000"/>
          <w:lang w:val="en"/>
        </w:rPr>
        <w:t>niversity administrative regulations.</w:t>
      </w:r>
    </w:p>
    <w:p w14:paraId="4ECAAA9E" w14:textId="77777777" w:rsidR="00055C06" w:rsidRDefault="00285732" w:rsidP="00621A43">
      <w:pPr>
        <w:jc w:val="both"/>
        <w:rPr>
          <w:sz w:val="16"/>
          <w:szCs w:val="16"/>
        </w:rPr>
      </w:pPr>
      <w:r w:rsidDel="00285732">
        <w:t xml:space="preserve"> </w:t>
      </w:r>
    </w:p>
    <w:sectPr w:rsidR="00055C06" w:rsidSect="0094471C">
      <w:footerReference w:type="default" r:id="rId14"/>
      <w:endnotePr>
        <w:numFmt w:val="decimal"/>
      </w:endnotePr>
      <w:pgSz w:w="12240" w:h="15840"/>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AFD3" w14:textId="77777777" w:rsidR="00BC645E" w:rsidRDefault="00BC645E">
      <w:r>
        <w:separator/>
      </w:r>
    </w:p>
  </w:endnote>
  <w:endnote w:type="continuationSeparator" w:id="0">
    <w:p w14:paraId="00436FF4" w14:textId="77777777" w:rsidR="00BC645E" w:rsidRDefault="00BC645E">
      <w:r>
        <w:continuationSeparator/>
      </w:r>
    </w:p>
  </w:endnote>
  <w:endnote w:type="continuationNotice" w:id="1">
    <w:p w14:paraId="3E865506" w14:textId="77777777" w:rsidR="00F47099" w:rsidRDefault="00F4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C6C" w14:textId="77777777" w:rsidR="003C4122" w:rsidRDefault="003C4122">
    <w:pPr>
      <w:spacing w:line="240" w:lineRule="exact"/>
    </w:pPr>
  </w:p>
  <w:p w14:paraId="0957D2A5" w14:textId="77777777" w:rsidR="003C4122" w:rsidRDefault="003C4122">
    <w:pPr>
      <w:framePr w:w="9361" w:wrap="notBeside" w:vAnchor="text" w:hAnchor="text" w:x="1" w:y="1"/>
      <w:jc w:val="center"/>
    </w:pPr>
    <w:r>
      <w:t xml:space="preserve">Page </w:t>
    </w:r>
    <w:r>
      <w:fldChar w:fldCharType="begin"/>
    </w:r>
    <w:r>
      <w:instrText xml:space="preserve">PAGE </w:instrText>
    </w:r>
    <w:r>
      <w:fldChar w:fldCharType="separate"/>
    </w:r>
    <w:r w:rsidR="00D00B16">
      <w:rPr>
        <w:noProof/>
      </w:rPr>
      <w:t>6</w:t>
    </w:r>
    <w:r>
      <w:rPr>
        <w:noProof/>
      </w:rPr>
      <w:fldChar w:fldCharType="end"/>
    </w:r>
    <w:r>
      <w:t xml:space="preserve"> of </w:t>
    </w:r>
    <w:r>
      <w:fldChar w:fldCharType="begin"/>
    </w:r>
    <w:r>
      <w:instrText xml:space="preserve">NUMPAGES </w:instrText>
    </w:r>
    <w:r>
      <w:fldChar w:fldCharType="separate"/>
    </w:r>
    <w:r w:rsidR="00D00B16">
      <w:rPr>
        <w:noProof/>
      </w:rPr>
      <w:t>6</w:t>
    </w:r>
    <w:r>
      <w:rPr>
        <w:noProof/>
      </w:rPr>
      <w:fldChar w:fldCharType="end"/>
    </w:r>
  </w:p>
  <w:p w14:paraId="0938BB64" w14:textId="77777777" w:rsidR="003C4122" w:rsidRDefault="003C4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D7FA" w14:textId="77777777" w:rsidR="00BC645E" w:rsidRDefault="00BC645E">
      <w:r>
        <w:separator/>
      </w:r>
    </w:p>
  </w:footnote>
  <w:footnote w:type="continuationSeparator" w:id="0">
    <w:p w14:paraId="7C79B20C" w14:textId="77777777" w:rsidR="00BC645E" w:rsidRDefault="00BC645E">
      <w:r>
        <w:continuationSeparator/>
      </w:r>
    </w:p>
  </w:footnote>
  <w:footnote w:type="continuationNotice" w:id="1">
    <w:p w14:paraId="3A027043" w14:textId="77777777" w:rsidR="00F47099" w:rsidRDefault="00F47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0D4E"/>
    <w:multiLevelType w:val="multilevel"/>
    <w:tmpl w:val="5CE41B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D58E1"/>
    <w:multiLevelType w:val="multilevel"/>
    <w:tmpl w:val="FC469C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364E8"/>
    <w:multiLevelType w:val="hybridMultilevel"/>
    <w:tmpl w:val="6C3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6240B10"/>
    <w:multiLevelType w:val="hybridMultilevel"/>
    <w:tmpl w:val="9B42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C75B1"/>
    <w:multiLevelType w:val="hybridMultilevel"/>
    <w:tmpl w:val="AEAE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67BDB"/>
    <w:multiLevelType w:val="multilevel"/>
    <w:tmpl w:val="BCF22B08"/>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6"/>
  </w:num>
  <w:num w:numId="2">
    <w:abstractNumId w:val="5"/>
  </w:num>
  <w:num w:numId="3">
    <w:abstractNumId w:val="3"/>
  </w:num>
  <w:num w:numId="4">
    <w:abstractNumId w:val="0"/>
  </w:num>
  <w:num w:numId="5">
    <w:abstractNumId w:val="9"/>
  </w:num>
  <w:num w:numId="6">
    <w:abstractNumId w:val="1"/>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55C06"/>
    <w:rsid w:val="00095085"/>
    <w:rsid w:val="000A561B"/>
    <w:rsid w:val="000D300C"/>
    <w:rsid w:val="000D5C7B"/>
    <w:rsid w:val="000F3875"/>
    <w:rsid w:val="000F70EA"/>
    <w:rsid w:val="00153EE2"/>
    <w:rsid w:val="001D3FE2"/>
    <w:rsid w:val="001F4758"/>
    <w:rsid w:val="002153DD"/>
    <w:rsid w:val="00285732"/>
    <w:rsid w:val="002E4056"/>
    <w:rsid w:val="002F1353"/>
    <w:rsid w:val="002F2CD6"/>
    <w:rsid w:val="00305048"/>
    <w:rsid w:val="00324380"/>
    <w:rsid w:val="0034713A"/>
    <w:rsid w:val="00352D3C"/>
    <w:rsid w:val="00367401"/>
    <w:rsid w:val="00383B16"/>
    <w:rsid w:val="003A5BA9"/>
    <w:rsid w:val="003C4122"/>
    <w:rsid w:val="003C46D1"/>
    <w:rsid w:val="003D0ABE"/>
    <w:rsid w:val="00401C87"/>
    <w:rsid w:val="004607CF"/>
    <w:rsid w:val="00463FD8"/>
    <w:rsid w:val="00466D41"/>
    <w:rsid w:val="004B1FFB"/>
    <w:rsid w:val="004B2AF7"/>
    <w:rsid w:val="004D4072"/>
    <w:rsid w:val="004F0163"/>
    <w:rsid w:val="004F6ECF"/>
    <w:rsid w:val="005105ED"/>
    <w:rsid w:val="005119A6"/>
    <w:rsid w:val="00520B19"/>
    <w:rsid w:val="005216F3"/>
    <w:rsid w:val="005244DF"/>
    <w:rsid w:val="005741ED"/>
    <w:rsid w:val="00587058"/>
    <w:rsid w:val="005C1BBD"/>
    <w:rsid w:val="005E727D"/>
    <w:rsid w:val="00621A43"/>
    <w:rsid w:val="0064458C"/>
    <w:rsid w:val="00656D5B"/>
    <w:rsid w:val="00662C70"/>
    <w:rsid w:val="00665313"/>
    <w:rsid w:val="00672DBA"/>
    <w:rsid w:val="00674039"/>
    <w:rsid w:val="00676110"/>
    <w:rsid w:val="00676D8C"/>
    <w:rsid w:val="0068700A"/>
    <w:rsid w:val="006B71E1"/>
    <w:rsid w:val="00720207"/>
    <w:rsid w:val="007729CC"/>
    <w:rsid w:val="00774BD3"/>
    <w:rsid w:val="00782972"/>
    <w:rsid w:val="00793D11"/>
    <w:rsid w:val="007A4710"/>
    <w:rsid w:val="0081083B"/>
    <w:rsid w:val="00814F2C"/>
    <w:rsid w:val="008720ED"/>
    <w:rsid w:val="00883297"/>
    <w:rsid w:val="008A106C"/>
    <w:rsid w:val="008E7230"/>
    <w:rsid w:val="008F0CB9"/>
    <w:rsid w:val="008F5B0A"/>
    <w:rsid w:val="00924C31"/>
    <w:rsid w:val="0094471C"/>
    <w:rsid w:val="00961709"/>
    <w:rsid w:val="00995675"/>
    <w:rsid w:val="009959A3"/>
    <w:rsid w:val="009B1270"/>
    <w:rsid w:val="009C3D08"/>
    <w:rsid w:val="009D2B2C"/>
    <w:rsid w:val="009F4630"/>
    <w:rsid w:val="00A018C6"/>
    <w:rsid w:val="00A063AC"/>
    <w:rsid w:val="00A24AFB"/>
    <w:rsid w:val="00A25525"/>
    <w:rsid w:val="00A368AA"/>
    <w:rsid w:val="00A4523F"/>
    <w:rsid w:val="00AB6C2A"/>
    <w:rsid w:val="00AD731A"/>
    <w:rsid w:val="00AE1194"/>
    <w:rsid w:val="00AE581A"/>
    <w:rsid w:val="00B063A6"/>
    <w:rsid w:val="00B117B3"/>
    <w:rsid w:val="00B14AFC"/>
    <w:rsid w:val="00B45578"/>
    <w:rsid w:val="00B62B63"/>
    <w:rsid w:val="00B825C7"/>
    <w:rsid w:val="00B9597C"/>
    <w:rsid w:val="00BA2F06"/>
    <w:rsid w:val="00BB172E"/>
    <w:rsid w:val="00BB3127"/>
    <w:rsid w:val="00BC645E"/>
    <w:rsid w:val="00BF6595"/>
    <w:rsid w:val="00BF7AD8"/>
    <w:rsid w:val="00C21C7A"/>
    <w:rsid w:val="00CB2B6D"/>
    <w:rsid w:val="00CB78E1"/>
    <w:rsid w:val="00CE5ABD"/>
    <w:rsid w:val="00CF30D1"/>
    <w:rsid w:val="00D00B16"/>
    <w:rsid w:val="00D104A2"/>
    <w:rsid w:val="00D65005"/>
    <w:rsid w:val="00D87304"/>
    <w:rsid w:val="00DA0AA8"/>
    <w:rsid w:val="00DA4B7B"/>
    <w:rsid w:val="00DB3E1A"/>
    <w:rsid w:val="00E922B7"/>
    <w:rsid w:val="00E94CA7"/>
    <w:rsid w:val="00ED17B2"/>
    <w:rsid w:val="00EE0C0D"/>
    <w:rsid w:val="00F00ECF"/>
    <w:rsid w:val="00F31C20"/>
    <w:rsid w:val="00F43B41"/>
    <w:rsid w:val="00F47099"/>
    <w:rsid w:val="00FC4CE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9AB09D"/>
  <w15:chartTrackingRefBased/>
  <w15:docId w15:val="{E501FE89-3B52-46EB-B4F3-3D93F64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CommentReference">
    <w:name w:val="annotation reference"/>
    <w:uiPriority w:val="99"/>
    <w:semiHidden/>
    <w:unhideWhenUsed/>
    <w:rsid w:val="00285732"/>
    <w:rPr>
      <w:sz w:val="16"/>
      <w:szCs w:val="16"/>
    </w:rPr>
  </w:style>
  <w:style w:type="paragraph" w:styleId="CommentText">
    <w:name w:val="annotation text"/>
    <w:basedOn w:val="Normal"/>
    <w:link w:val="CommentTextChar"/>
    <w:uiPriority w:val="99"/>
    <w:semiHidden/>
    <w:unhideWhenUsed/>
    <w:rsid w:val="00285732"/>
    <w:rPr>
      <w:sz w:val="20"/>
      <w:szCs w:val="20"/>
    </w:rPr>
  </w:style>
  <w:style w:type="character" w:customStyle="1" w:styleId="CommentTextChar">
    <w:name w:val="Comment Text Char"/>
    <w:basedOn w:val="DefaultParagraphFont"/>
    <w:link w:val="CommentText"/>
    <w:uiPriority w:val="99"/>
    <w:semiHidden/>
    <w:rsid w:val="00285732"/>
  </w:style>
  <w:style w:type="character" w:styleId="Hyperlink">
    <w:name w:val="Hyperlink"/>
    <w:uiPriority w:val="99"/>
    <w:unhideWhenUsed/>
    <w:rsid w:val="00285732"/>
    <w:rPr>
      <w:color w:val="0563C1"/>
      <w:u w:val="single"/>
    </w:rPr>
  </w:style>
  <w:style w:type="paragraph" w:customStyle="1" w:styleId="Default">
    <w:name w:val="Default"/>
    <w:basedOn w:val="Normal"/>
    <w:rsid w:val="00AE1194"/>
    <w:pPr>
      <w:widowControl/>
      <w:adjustRightInd/>
    </w:pPr>
    <w:rPr>
      <w:rFonts w:eastAsia="Calibri"/>
      <w:color w:val="000000"/>
    </w:rPr>
  </w:style>
  <w:style w:type="character" w:styleId="UnresolvedMention">
    <w:name w:val="Unresolved Mention"/>
    <w:basedOn w:val="DefaultParagraphFont"/>
    <w:uiPriority w:val="99"/>
    <w:semiHidden/>
    <w:unhideWhenUsed/>
    <w:rsid w:val="000A561B"/>
    <w:rPr>
      <w:color w:val="605E5C"/>
      <w:shd w:val="clear" w:color="auto" w:fill="E1DFDD"/>
    </w:rPr>
  </w:style>
  <w:style w:type="paragraph" w:styleId="ListParagraph">
    <w:name w:val="List Paragraph"/>
    <w:basedOn w:val="Normal"/>
    <w:uiPriority w:val="34"/>
    <w:qFormat/>
    <w:rsid w:val="000A561B"/>
    <w:pPr>
      <w:ind w:left="720"/>
      <w:contextualSpacing/>
    </w:pPr>
  </w:style>
  <w:style w:type="paragraph" w:styleId="CommentSubject">
    <w:name w:val="annotation subject"/>
    <w:basedOn w:val="CommentText"/>
    <w:next w:val="CommentText"/>
    <w:link w:val="CommentSubjectChar"/>
    <w:uiPriority w:val="99"/>
    <w:semiHidden/>
    <w:unhideWhenUsed/>
    <w:rsid w:val="00C21C7A"/>
    <w:rPr>
      <w:b/>
      <w:bCs/>
    </w:rPr>
  </w:style>
  <w:style w:type="character" w:customStyle="1" w:styleId="CommentSubjectChar">
    <w:name w:val="Comment Subject Char"/>
    <w:basedOn w:val="CommentTextChar"/>
    <w:link w:val="CommentSubject"/>
    <w:uiPriority w:val="99"/>
    <w:semiHidden/>
    <w:rsid w:val="00C21C7A"/>
    <w:rPr>
      <w:b/>
      <w:bCs/>
    </w:rPr>
  </w:style>
  <w:style w:type="character" w:styleId="FollowedHyperlink">
    <w:name w:val="FollowedHyperlink"/>
    <w:basedOn w:val="DefaultParagraphFont"/>
    <w:uiPriority w:val="99"/>
    <w:semiHidden/>
    <w:unhideWhenUsed/>
    <w:rsid w:val="00F47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720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charities-non-profits/charitable-organizations/exemption-requirements-section-501-c-3-organiz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carolina.edu/apps/policy/index.php?pg=vs&amp;id=430&amp;adde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about-uncp/administration/policies-and-regulations/all-policies/pol-030001-facility-and-program-naming-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DC13-1542-45BB-B0F0-70B05DF7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0BBF6-4D63-4616-97C3-E01E72D449C2}">
  <ds:schemaRefs>
    <ds:schemaRef ds:uri="http://schemas.openxmlformats.org/package/2006/metadata/core-properties"/>
    <ds:schemaRef ds:uri="9f51a92f-a9c7-4010-aefd-925b73c2c749"/>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173f0b10-4677-4343-a34a-ecca63a7b839"/>
  </ds:schemaRefs>
</ds:datastoreItem>
</file>

<file path=customXml/itemProps3.xml><?xml version="1.0" encoding="utf-8"?>
<ds:datastoreItem xmlns:ds="http://schemas.openxmlformats.org/officeDocument/2006/customXml" ds:itemID="{DF720B8E-1104-44C7-BC94-90B909A9B54A}">
  <ds:schemaRefs>
    <ds:schemaRef ds:uri="http://schemas.microsoft.com/sharepoint/v3/contenttype/forms"/>
  </ds:schemaRefs>
</ds:datastoreItem>
</file>

<file path=customXml/itemProps4.xml><?xml version="1.0" encoding="utf-8"?>
<ds:datastoreItem xmlns:ds="http://schemas.openxmlformats.org/officeDocument/2006/customXml" ds:itemID="{DC12FA2D-7AD5-4D26-B0BB-B68280F8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2373</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15770</CharactersWithSpaces>
  <SharedDoc>false</SharedDoc>
  <HLinks>
    <vt:vector size="18" baseType="variant">
      <vt:variant>
        <vt:i4>7602226</vt:i4>
      </vt:variant>
      <vt:variant>
        <vt:i4>6</vt:i4>
      </vt:variant>
      <vt:variant>
        <vt:i4>0</vt:i4>
      </vt:variant>
      <vt:variant>
        <vt:i4>5</vt:i4>
      </vt:variant>
      <vt:variant>
        <vt:lpwstr>https://www.irs.gov/charities-non-profits/charitable-organizations/exemption-requirements-section-501-c-3-organizations</vt:lpwstr>
      </vt:variant>
      <vt:variant>
        <vt:lpwstr/>
      </vt:variant>
      <vt:variant>
        <vt:i4>4063274</vt:i4>
      </vt:variant>
      <vt:variant>
        <vt:i4>3</vt:i4>
      </vt:variant>
      <vt:variant>
        <vt:i4>0</vt:i4>
      </vt:variant>
      <vt:variant>
        <vt:i4>5</vt:i4>
      </vt:variant>
      <vt:variant>
        <vt:lpwstr>http://www.northcarolina.edu/apps/policy/index.php?pg=vs&amp;id=430&amp;added=1</vt:lpwstr>
      </vt:variant>
      <vt:variant>
        <vt:lpwstr/>
      </vt:variant>
      <vt:variant>
        <vt:i4>2097210</vt:i4>
      </vt:variant>
      <vt:variant>
        <vt:i4>0</vt:i4>
      </vt:variant>
      <vt:variant>
        <vt:i4>0</vt:i4>
      </vt:variant>
      <vt:variant>
        <vt:i4>5</vt:i4>
      </vt:variant>
      <vt:variant>
        <vt:lpwstr>https://www.uncp.edu/about-uncp/administration/policies-and-regulations/all-policies/pol-030001-facility-and-program-naming-policy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4</cp:revision>
  <cp:lastPrinted>2017-02-07T21:12:00Z</cp:lastPrinted>
  <dcterms:created xsi:type="dcterms:W3CDTF">2020-01-28T16:24:00Z</dcterms:created>
  <dcterms:modified xsi:type="dcterms:W3CDTF">2020-02-05T19:04:00Z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