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17194" w14:textId="77777777" w:rsidR="00DF3741" w:rsidRDefault="003F5513">
      <w:pPr>
        <w:tabs>
          <w:tab w:val="left" w:pos="4444"/>
          <w:tab w:val="left" w:pos="5147"/>
        </w:tabs>
        <w:spacing w:before="75"/>
        <w:ind w:left="2543"/>
        <w:rPr>
          <w:rFonts w:ascii="Times New Roman"/>
          <w:b/>
          <w:sz w:val="32"/>
        </w:rPr>
      </w:pPr>
      <w:r>
        <w:rPr>
          <w:rFonts w:ascii="Times New Roman"/>
          <w:b/>
          <w:sz w:val="32"/>
        </w:rPr>
        <w:t>N O T I</w:t>
      </w:r>
      <w:r>
        <w:rPr>
          <w:rFonts w:ascii="Times New Roman"/>
          <w:b/>
          <w:spacing w:val="-5"/>
          <w:sz w:val="32"/>
        </w:rPr>
        <w:t xml:space="preserve"> </w:t>
      </w:r>
      <w:r>
        <w:rPr>
          <w:rFonts w:ascii="Times New Roman"/>
          <w:b/>
          <w:sz w:val="32"/>
        </w:rPr>
        <w:t>C</w:t>
      </w:r>
      <w:r>
        <w:rPr>
          <w:rFonts w:ascii="Times New Roman"/>
          <w:b/>
          <w:spacing w:val="1"/>
          <w:sz w:val="32"/>
        </w:rPr>
        <w:t xml:space="preserve"> </w:t>
      </w:r>
      <w:r>
        <w:rPr>
          <w:rFonts w:ascii="Times New Roman"/>
          <w:b/>
          <w:sz w:val="32"/>
        </w:rPr>
        <w:t>E</w:t>
      </w:r>
      <w:r>
        <w:rPr>
          <w:rFonts w:ascii="Times New Roman"/>
          <w:sz w:val="32"/>
        </w:rPr>
        <w:tab/>
      </w:r>
      <w:r>
        <w:rPr>
          <w:rFonts w:ascii="Times New Roman"/>
          <w:b/>
          <w:sz w:val="32"/>
        </w:rPr>
        <w:t>TO</w:t>
      </w:r>
      <w:r>
        <w:rPr>
          <w:rFonts w:ascii="Times New Roman"/>
          <w:sz w:val="32"/>
        </w:rPr>
        <w:tab/>
      </w:r>
      <w:r>
        <w:rPr>
          <w:rFonts w:ascii="Times New Roman"/>
          <w:b/>
          <w:sz w:val="32"/>
        </w:rPr>
        <w:t xml:space="preserve">B </w:t>
      </w:r>
      <w:proofErr w:type="gramStart"/>
      <w:r>
        <w:rPr>
          <w:rFonts w:ascii="Times New Roman"/>
          <w:b/>
          <w:sz w:val="32"/>
        </w:rPr>
        <w:t>I D</w:t>
      </w:r>
      <w:proofErr w:type="gramEnd"/>
      <w:r>
        <w:rPr>
          <w:rFonts w:ascii="Times New Roman"/>
          <w:b/>
          <w:sz w:val="32"/>
        </w:rPr>
        <w:t xml:space="preserve"> </w:t>
      </w:r>
      <w:proofErr w:type="spellStart"/>
      <w:r>
        <w:rPr>
          <w:rFonts w:ascii="Times New Roman"/>
          <w:b/>
          <w:sz w:val="32"/>
        </w:rPr>
        <w:t>D</w:t>
      </w:r>
      <w:proofErr w:type="spellEnd"/>
      <w:r>
        <w:rPr>
          <w:rFonts w:ascii="Times New Roman"/>
          <w:b/>
          <w:sz w:val="32"/>
        </w:rPr>
        <w:t xml:space="preserve"> E R</w:t>
      </w:r>
      <w:r>
        <w:rPr>
          <w:rFonts w:ascii="Times New Roman"/>
          <w:b/>
          <w:spacing w:val="1"/>
          <w:sz w:val="32"/>
        </w:rPr>
        <w:t xml:space="preserve"> </w:t>
      </w:r>
      <w:r>
        <w:rPr>
          <w:rFonts w:ascii="Times New Roman"/>
          <w:b/>
          <w:sz w:val="32"/>
        </w:rPr>
        <w:t>S</w:t>
      </w:r>
    </w:p>
    <w:p w14:paraId="47F00366" w14:textId="7495BE9D" w:rsidR="006B5624" w:rsidRDefault="006B5624">
      <w:pPr>
        <w:pStyle w:val="BodyText"/>
        <w:spacing w:before="252"/>
        <w:ind w:left="119" w:right="115"/>
        <w:jc w:val="both"/>
      </w:pPr>
      <w:r w:rsidRPr="006B5624">
        <w:rPr>
          <w:b/>
          <w:bCs/>
        </w:rPr>
        <w:t>RE-BID NOTICE</w:t>
      </w:r>
      <w:r>
        <w:rPr>
          <w:b/>
          <w:bCs/>
        </w:rPr>
        <w:t>:</w:t>
      </w:r>
      <w:r w:rsidRPr="006B5624">
        <w:t xml:space="preserve"> This Invitation to Bid</w:t>
      </w:r>
      <w:r>
        <w:t xml:space="preserve"> </w:t>
      </w:r>
      <w:r w:rsidRPr="006B5624">
        <w:t>constitutes a Re-Bid of a previously solicited project. In accordance with the requirements established at the Mandatory Pre-Bid Conference held on</w:t>
      </w:r>
      <w:r>
        <w:t xml:space="preserve"> March 13, 2026, at 10 am</w:t>
      </w:r>
      <w:r w:rsidRPr="006B5624">
        <w:t xml:space="preserve">, </w:t>
      </w:r>
      <w:r w:rsidRPr="006B5624">
        <w:rPr>
          <w:b/>
          <w:bCs/>
        </w:rPr>
        <w:t xml:space="preserve">only those contractors who were present and signed </w:t>
      </w:r>
      <w:proofErr w:type="gramStart"/>
      <w:r w:rsidRPr="006B5624">
        <w:rPr>
          <w:b/>
          <w:bCs/>
        </w:rPr>
        <w:t>in</w:t>
      </w:r>
      <w:proofErr w:type="gramEnd"/>
      <w:r w:rsidRPr="006B5624">
        <w:rPr>
          <w:b/>
          <w:bCs/>
        </w:rPr>
        <w:t xml:space="preserve"> at the Mandatory Pre-Bid meeting are eligible to submit a bid</w:t>
      </w:r>
      <w:r w:rsidRPr="006B5624">
        <w:t xml:space="preserve"> for this project. Bids received from contractors who did not attend the Mandatory Pre-Bid Conference will be deemed non-responsive and will not be considered.</w:t>
      </w:r>
    </w:p>
    <w:p w14:paraId="0D9F0061" w14:textId="73F638DA" w:rsidR="00DF3741" w:rsidRDefault="003F5513">
      <w:pPr>
        <w:pStyle w:val="BodyText"/>
        <w:spacing w:before="252"/>
        <w:ind w:left="119" w:right="115"/>
        <w:jc w:val="both"/>
      </w:pPr>
      <w:r>
        <w:t xml:space="preserve">Sealed proposals will be received by </w:t>
      </w:r>
      <w:bookmarkStart w:id="0" w:name="_Hlk111731506"/>
      <w:r w:rsidR="002B2ADE">
        <w:t>the University of North Carolina at Pembroke</w:t>
      </w:r>
      <w:r>
        <w:t>,</w:t>
      </w:r>
      <w:r w:rsidR="002B2ADE">
        <w:t xml:space="preserve"> Facilities, Planning, Design &amp; Construction, Pinchbeck Building</w:t>
      </w:r>
      <w:r w:rsidR="00B20A0C">
        <w:t>, Conference Room 141</w:t>
      </w:r>
      <w:r w:rsidR="002B2ADE">
        <w:t>, One University Dr., Pembroke</w:t>
      </w:r>
      <w:r>
        <w:t>, North Carolina</w:t>
      </w:r>
      <w:r w:rsidR="002B2ADE">
        <w:t xml:space="preserve"> 28372</w:t>
      </w:r>
      <w:r>
        <w:t xml:space="preserve"> </w:t>
      </w:r>
      <w:bookmarkEnd w:id="0"/>
      <w:r>
        <w:t xml:space="preserve">up to </w:t>
      </w:r>
      <w:r w:rsidR="00D17978">
        <w:rPr>
          <w:u w:val="single"/>
        </w:rPr>
        <w:t>3</w:t>
      </w:r>
      <w:r w:rsidR="00B20A0C">
        <w:rPr>
          <w:u w:val="single"/>
        </w:rPr>
        <w:t>:00 pm</w:t>
      </w:r>
      <w:r w:rsidR="00052F15">
        <w:t xml:space="preserve"> </w:t>
      </w:r>
      <w:r>
        <w:t>on</w:t>
      </w:r>
      <w:r w:rsidR="004F378D">
        <w:t xml:space="preserve"> </w:t>
      </w:r>
      <w:r w:rsidR="00726AE0">
        <w:rPr>
          <w:u w:val="single"/>
        </w:rPr>
        <w:t>Tu</w:t>
      </w:r>
      <w:r w:rsidR="00F572A5">
        <w:rPr>
          <w:u w:val="single"/>
        </w:rPr>
        <w:t>esday</w:t>
      </w:r>
      <w:r w:rsidR="00B20A0C">
        <w:rPr>
          <w:u w:val="single"/>
        </w:rPr>
        <w:t xml:space="preserve">, </w:t>
      </w:r>
      <w:r w:rsidR="00F572A5">
        <w:rPr>
          <w:u w:val="single"/>
        </w:rPr>
        <w:t>April</w:t>
      </w:r>
      <w:r w:rsidR="00B20A0C">
        <w:rPr>
          <w:u w:val="single"/>
        </w:rPr>
        <w:t xml:space="preserve"> </w:t>
      </w:r>
      <w:r w:rsidR="00D17978">
        <w:rPr>
          <w:u w:val="single"/>
        </w:rPr>
        <w:t>14</w:t>
      </w:r>
      <w:r w:rsidR="00D17978" w:rsidRPr="00D17978">
        <w:rPr>
          <w:u w:val="single"/>
          <w:vertAlign w:val="superscript"/>
        </w:rPr>
        <w:t>th</w:t>
      </w:r>
      <w:r w:rsidR="00B20A0C">
        <w:rPr>
          <w:u w:val="single"/>
        </w:rPr>
        <w:t>, 2026</w:t>
      </w:r>
      <w:r>
        <w:t xml:space="preserve"> and immediately thereafter publicly opened and read for the furnishing of labor, material and equipment entering into the construction</w:t>
      </w:r>
      <w:r>
        <w:rPr>
          <w:spacing w:val="1"/>
        </w:rPr>
        <w:t xml:space="preserve"> </w:t>
      </w:r>
      <w:r>
        <w:t>of:</w:t>
      </w:r>
    </w:p>
    <w:p w14:paraId="28BAF950" w14:textId="3D0F925B" w:rsidR="00E21C4D" w:rsidRPr="00E21C4D" w:rsidRDefault="002B2ADE" w:rsidP="00E21C4D">
      <w:pPr>
        <w:spacing w:before="207"/>
        <w:ind w:left="119"/>
        <w:jc w:val="center"/>
        <w:rPr>
          <w:iCs/>
        </w:rPr>
      </w:pPr>
      <w:r>
        <w:rPr>
          <w:iCs/>
        </w:rPr>
        <w:t>UNC Pembroke Chavis Building 2</w:t>
      </w:r>
      <w:r w:rsidRPr="002B2ADE">
        <w:rPr>
          <w:iCs/>
          <w:vertAlign w:val="superscript"/>
        </w:rPr>
        <w:t>nd</w:t>
      </w:r>
      <w:r>
        <w:rPr>
          <w:iCs/>
        </w:rPr>
        <w:t xml:space="preserve"> Floor </w:t>
      </w:r>
      <w:r w:rsidR="00BA23E6">
        <w:rPr>
          <w:iCs/>
        </w:rPr>
        <w:t>HVAC Renovation</w:t>
      </w:r>
      <w:r w:rsidR="00E21C4D" w:rsidRPr="00E21C4D">
        <w:rPr>
          <w:i/>
        </w:rPr>
        <w:t xml:space="preserve">                                             </w:t>
      </w:r>
    </w:p>
    <w:p w14:paraId="27FB2816" w14:textId="287B5D0A" w:rsidR="00E21C4D" w:rsidRPr="00E21C4D" w:rsidRDefault="004132FE" w:rsidP="00E21C4D">
      <w:pPr>
        <w:spacing w:before="207"/>
        <w:ind w:left="119"/>
        <w:jc w:val="both"/>
      </w:pPr>
      <w:r>
        <w:t>Removing and replacing two (2) existing air-handling units serving the 2</w:t>
      </w:r>
      <w:r w:rsidRPr="004132FE">
        <w:rPr>
          <w:vertAlign w:val="superscript"/>
        </w:rPr>
        <w:t>nd</w:t>
      </w:r>
      <w:r>
        <w:t xml:space="preserve"> floor. The work includes replacing the existing fan powered terminal units with single duct terminal units, new ductwork, new piping, associated HVAC controls and power connections to the new equipment.</w:t>
      </w:r>
    </w:p>
    <w:p w14:paraId="29BE51AE" w14:textId="3C983BC1" w:rsidR="00DF3741" w:rsidRDefault="003F5513">
      <w:pPr>
        <w:spacing w:before="207"/>
        <w:ind w:left="119"/>
        <w:jc w:val="both"/>
      </w:pPr>
      <w:r>
        <w:t xml:space="preserve">Bids will be received </w:t>
      </w:r>
      <w:r>
        <w:rPr>
          <w:i/>
        </w:rPr>
        <w:t xml:space="preserve">for </w:t>
      </w:r>
      <w:r w:rsidRPr="00E21C4D">
        <w:rPr>
          <w:i/>
          <w:u w:val="single"/>
        </w:rPr>
        <w:t>Single Prime.</w:t>
      </w:r>
      <w:r>
        <w:rPr>
          <w:i/>
        </w:rPr>
        <w:t xml:space="preserve"> </w:t>
      </w:r>
      <w:r>
        <w:t>All proposals shall be lump sum.</w:t>
      </w:r>
    </w:p>
    <w:p w14:paraId="250DF037" w14:textId="290E9379" w:rsidR="00E21C4D" w:rsidRDefault="00E21C4D">
      <w:pPr>
        <w:pStyle w:val="BodyText"/>
        <w:rPr>
          <w:color w:val="FF0000"/>
        </w:rPr>
      </w:pPr>
    </w:p>
    <w:p w14:paraId="4D4BF9AD" w14:textId="77777777" w:rsidR="00E21C4D" w:rsidRPr="00E21C4D" w:rsidRDefault="00E21C4D" w:rsidP="00E21C4D">
      <w:pPr>
        <w:widowControl/>
        <w:autoSpaceDE/>
        <w:autoSpaceDN/>
        <w:ind w:left="119"/>
        <w:rPr>
          <w:rFonts w:eastAsia="Times New Roman" w:cs="Times New Roman"/>
          <w:i/>
          <w:color w:val="FF0000"/>
          <w:szCs w:val="20"/>
          <w:u w:val="single"/>
        </w:rPr>
      </w:pPr>
      <w:r w:rsidRPr="00E21C4D">
        <w:rPr>
          <w:rFonts w:eastAsia="Times New Roman" w:cs="Times New Roman"/>
          <w:szCs w:val="20"/>
        </w:rPr>
        <w:t>General contractors are notified that Chapter 87, Article 1, General Statutes of North Carolina, will be observed in receiving and awarding general contracts.  General contractors submitting bids on this project must have license classification for</w:t>
      </w:r>
      <w:r w:rsidRPr="00E21C4D">
        <w:rPr>
          <w:rFonts w:eastAsia="Times New Roman" w:cs="Times New Roman"/>
          <w:szCs w:val="20"/>
          <w:u w:val="single"/>
        </w:rPr>
        <w:t xml:space="preserve"> “Unlimited Building” or “Unclassified.”</w:t>
      </w:r>
      <w:r w:rsidRPr="00E21C4D">
        <w:rPr>
          <w:rFonts w:eastAsia="Times New Roman" w:cs="Times New Roman"/>
          <w:i/>
          <w:color w:val="FF0000"/>
          <w:sz w:val="18"/>
          <w:szCs w:val="20"/>
          <w:u w:val="single"/>
        </w:rPr>
        <w:t xml:space="preserve">  </w:t>
      </w:r>
    </w:p>
    <w:p w14:paraId="76B64666" w14:textId="77777777" w:rsidR="00E21C4D" w:rsidRPr="00E21C4D" w:rsidRDefault="00E21C4D" w:rsidP="00E21C4D">
      <w:pPr>
        <w:widowControl/>
        <w:autoSpaceDE/>
        <w:autoSpaceDN/>
        <w:rPr>
          <w:rFonts w:eastAsia="Times New Roman" w:cs="Times New Roman"/>
          <w:b/>
          <w:bCs/>
          <w:szCs w:val="20"/>
          <w:u w:val="single"/>
        </w:rPr>
      </w:pPr>
    </w:p>
    <w:p w14:paraId="4F462259" w14:textId="4BDF200B" w:rsidR="00E21C4D" w:rsidRPr="00E21C4D" w:rsidRDefault="00E21C4D" w:rsidP="00E21C4D">
      <w:pPr>
        <w:widowControl/>
        <w:autoSpaceDE/>
        <w:autoSpaceDN/>
        <w:ind w:left="450"/>
        <w:rPr>
          <w:rFonts w:eastAsia="Times New Roman" w:cs="Times New Roman"/>
          <w:caps/>
          <w:sz w:val="18"/>
          <w:szCs w:val="20"/>
        </w:rPr>
      </w:pPr>
      <w:r w:rsidRPr="00E21C4D">
        <w:rPr>
          <w:rFonts w:eastAsia="Times New Roman" w:cs="Times New Roman"/>
          <w:sz w:val="18"/>
          <w:szCs w:val="20"/>
          <w:u w:val="single"/>
        </w:rPr>
        <w:t>NOTE</w:t>
      </w:r>
      <w:r w:rsidRPr="00E21C4D">
        <w:rPr>
          <w:rFonts w:eastAsia="Times New Roman" w:cs="Times New Roman"/>
          <w:sz w:val="18"/>
          <w:szCs w:val="20"/>
        </w:rPr>
        <w:t>--SINGLE PRIME CONTRACTS:  Under GS 87-1, a contractor that superintends</w:t>
      </w:r>
      <w:r w:rsidRPr="00E21C4D">
        <w:rPr>
          <w:rFonts w:eastAsia="Times New Roman" w:cs="Times New Roman"/>
          <w:sz w:val="18"/>
          <w:szCs w:val="20"/>
          <w:u w:val="single"/>
        </w:rPr>
        <w:t xml:space="preserve"> or manages</w:t>
      </w:r>
      <w:r w:rsidRPr="00E21C4D">
        <w:rPr>
          <w:rFonts w:eastAsia="Times New Roman" w:cs="Times New Roman"/>
          <w:sz w:val="18"/>
          <w:szCs w:val="20"/>
        </w:rPr>
        <w:t xml:space="preserve"> construction of any building, highway, public utility, grading, structure or improvement shall be deemed a “general contractor” and shall be so licensed.  </w:t>
      </w:r>
      <w:r w:rsidR="00C61D34" w:rsidRPr="00E21C4D">
        <w:rPr>
          <w:rFonts w:eastAsia="Times New Roman" w:cs="Times New Roman"/>
          <w:sz w:val="18"/>
          <w:szCs w:val="20"/>
        </w:rPr>
        <w:t>Therefore,</w:t>
      </w:r>
      <w:r w:rsidRPr="00E21C4D">
        <w:rPr>
          <w:rFonts w:eastAsia="Times New Roman" w:cs="Times New Roman"/>
          <w:sz w:val="18"/>
          <w:szCs w:val="20"/>
        </w:rPr>
        <w:t xml:space="preserve"> a single prime project that involves other trades will require the single prime contractor to hold a proper General Contractors license.  </w:t>
      </w:r>
      <w:r w:rsidRPr="00E21C4D">
        <w:rPr>
          <w:rFonts w:eastAsia="Times New Roman" w:cs="Times New Roman"/>
          <w:b/>
          <w:bCs/>
          <w:sz w:val="18"/>
          <w:szCs w:val="20"/>
          <w:u w:val="single"/>
        </w:rPr>
        <w:t>EXCEPT</w:t>
      </w:r>
      <w:r w:rsidRPr="00E21C4D">
        <w:rPr>
          <w:rFonts w:eastAsia="Times New Roman" w:cs="Times New Roman"/>
          <w:sz w:val="18"/>
          <w:szCs w:val="20"/>
        </w:rPr>
        <w:t xml:space="preserve">:  On public buildings being bid </w:t>
      </w:r>
      <w:r w:rsidRPr="00E21C4D">
        <w:rPr>
          <w:rFonts w:eastAsia="Times New Roman" w:cs="Times New Roman"/>
          <w:sz w:val="18"/>
          <w:szCs w:val="20"/>
          <w:u w:val="single"/>
        </w:rPr>
        <w:t>single prime</w:t>
      </w:r>
      <w:r w:rsidRPr="00E21C4D">
        <w:rPr>
          <w:rFonts w:eastAsia="Times New Roman" w:cs="Times New Roman"/>
          <w:sz w:val="18"/>
          <w:szCs w:val="20"/>
        </w:rPr>
        <w:t>, where the total value of the general construction does not exceed 25% of the total construction value, contractors under GS87- Arts 2 and 4 (Plumbing, Mechanical &amp; Electrical) may bid and contract directly with the Owner as the</w:t>
      </w:r>
      <w:r w:rsidRPr="00E21C4D">
        <w:rPr>
          <w:rFonts w:eastAsia="Times New Roman" w:cs="Times New Roman"/>
          <w:caps/>
          <w:sz w:val="18"/>
          <w:szCs w:val="20"/>
        </w:rPr>
        <w:t xml:space="preserve"> single prime CONTRACTOR </w:t>
      </w:r>
      <w:r w:rsidRPr="00E21C4D">
        <w:rPr>
          <w:rFonts w:eastAsia="Times New Roman" w:cs="Times New Roman"/>
          <w:sz w:val="18"/>
          <w:szCs w:val="20"/>
        </w:rPr>
        <w:t>and may subcontract</w:t>
      </w:r>
      <w:r w:rsidRPr="00E21C4D">
        <w:rPr>
          <w:rFonts w:eastAsia="Times New Roman" w:cs="Times New Roman"/>
          <w:caps/>
          <w:sz w:val="18"/>
          <w:szCs w:val="20"/>
        </w:rPr>
        <w:t xml:space="preserve"> </w:t>
      </w:r>
      <w:r w:rsidRPr="00E21C4D">
        <w:rPr>
          <w:rFonts w:eastAsia="Times New Roman" w:cs="Times New Roman"/>
          <w:sz w:val="18"/>
          <w:szCs w:val="20"/>
        </w:rPr>
        <w:t>to other properly licensed trades.</w:t>
      </w:r>
      <w:r w:rsidRPr="00E21C4D">
        <w:rPr>
          <w:rFonts w:eastAsia="Times New Roman" w:cs="Times New Roman"/>
          <w:caps/>
          <w:sz w:val="18"/>
          <w:szCs w:val="20"/>
        </w:rPr>
        <w:t xml:space="preserve">  </w:t>
      </w:r>
      <w:hyperlink r:id="rId6" w:history="1">
        <w:r w:rsidRPr="00E21C4D">
          <w:rPr>
            <w:rFonts w:eastAsia="Times New Roman" w:cs="Times New Roman"/>
            <w:caps/>
            <w:color w:val="0000FF"/>
            <w:sz w:val="18"/>
            <w:szCs w:val="20"/>
            <w:u w:val="single"/>
          </w:rPr>
          <w:t xml:space="preserve">GS87-1.1- </w:t>
        </w:r>
        <w:r w:rsidRPr="00E21C4D">
          <w:rPr>
            <w:rFonts w:eastAsia="Times New Roman" w:cs="Times New Roman"/>
            <w:color w:val="0000FF"/>
            <w:sz w:val="18"/>
            <w:szCs w:val="20"/>
            <w:u w:val="single"/>
          </w:rPr>
          <w:t>Rules</w:t>
        </w:r>
        <w:r w:rsidRPr="00E21C4D">
          <w:rPr>
            <w:rFonts w:eastAsia="Times New Roman" w:cs="Times New Roman"/>
            <w:caps/>
            <w:color w:val="0000FF"/>
            <w:sz w:val="18"/>
            <w:szCs w:val="20"/>
            <w:u w:val="single"/>
          </w:rPr>
          <w:t xml:space="preserve"> .0210</w:t>
        </w:r>
      </w:hyperlink>
    </w:p>
    <w:p w14:paraId="37F04208" w14:textId="77777777" w:rsidR="00E21C4D" w:rsidRDefault="00E21C4D" w:rsidP="00E21C4D">
      <w:pPr>
        <w:spacing w:before="1"/>
        <w:ind w:left="3445" w:right="3444"/>
        <w:jc w:val="center"/>
        <w:rPr>
          <w:rFonts w:ascii="Times New Roman"/>
          <w:b/>
          <w:sz w:val="28"/>
        </w:rPr>
      </w:pPr>
    </w:p>
    <w:p w14:paraId="511EC3FF" w14:textId="50A07D35" w:rsidR="00DF3741" w:rsidRPr="00E21C4D" w:rsidRDefault="003F5513" w:rsidP="00E21C4D">
      <w:pPr>
        <w:spacing w:before="1"/>
        <w:ind w:left="3445" w:right="3444"/>
        <w:jc w:val="center"/>
        <w:rPr>
          <w:rFonts w:ascii="Times New Roman"/>
          <w:b/>
          <w:sz w:val="28"/>
        </w:rPr>
      </w:pPr>
      <w:r>
        <w:rPr>
          <w:rFonts w:ascii="Times New Roman"/>
          <w:b/>
          <w:sz w:val="28"/>
        </w:rPr>
        <w:t>Pre-Bid Meeting</w:t>
      </w:r>
    </w:p>
    <w:p w14:paraId="2451FFC1" w14:textId="7CE54251" w:rsidR="00DF3741" w:rsidRDefault="003F5513">
      <w:pPr>
        <w:pStyle w:val="BodyText"/>
        <w:ind w:left="119" w:right="114" w:hanging="1"/>
        <w:jc w:val="both"/>
      </w:pPr>
      <w:r w:rsidRPr="00B20A0C">
        <w:t xml:space="preserve">A </w:t>
      </w:r>
      <w:r w:rsidR="00F92162" w:rsidRPr="00B20A0C">
        <w:t>mandatory</w:t>
      </w:r>
      <w:r w:rsidR="002A1321" w:rsidRPr="00B20A0C">
        <w:t xml:space="preserve"> </w:t>
      </w:r>
      <w:r w:rsidRPr="00B20A0C">
        <w:t>pre-bid meeting w</w:t>
      </w:r>
      <w:r w:rsidR="006B5624">
        <w:t>as</w:t>
      </w:r>
      <w:r w:rsidRPr="00B20A0C">
        <w:t xml:space="preserve"> held for all bidders in the</w:t>
      </w:r>
      <w:r w:rsidR="00426175" w:rsidRPr="00B20A0C">
        <w:t xml:space="preserve"> </w:t>
      </w:r>
      <w:r w:rsidR="00FC63E2" w:rsidRPr="00B20A0C">
        <w:t>Pinchbeck Conference Room 141</w:t>
      </w:r>
      <w:r w:rsidR="001F52ED" w:rsidRPr="00B20A0C">
        <w:t>,</w:t>
      </w:r>
      <w:r w:rsidR="00BA23E6" w:rsidRPr="00B20A0C">
        <w:t xml:space="preserve"> UNC Pembroke</w:t>
      </w:r>
      <w:r w:rsidR="001F52ED" w:rsidRPr="00B20A0C">
        <w:t xml:space="preserve"> Campus, </w:t>
      </w:r>
      <w:r w:rsidR="00BA23E6" w:rsidRPr="00B20A0C">
        <w:t>Pembroke</w:t>
      </w:r>
      <w:r w:rsidR="001F52ED" w:rsidRPr="00B20A0C">
        <w:t xml:space="preserve">, North Carolina </w:t>
      </w:r>
      <w:r w:rsidRPr="00B20A0C">
        <w:t xml:space="preserve">at </w:t>
      </w:r>
      <w:r w:rsidR="00C459C7">
        <w:rPr>
          <w:u w:val="single"/>
        </w:rPr>
        <w:t>10</w:t>
      </w:r>
      <w:r w:rsidR="00FC63E2" w:rsidRPr="00B20A0C">
        <w:rPr>
          <w:u w:val="single"/>
        </w:rPr>
        <w:t xml:space="preserve">:00 </w:t>
      </w:r>
      <w:r w:rsidR="00C459C7">
        <w:rPr>
          <w:u w:val="single"/>
        </w:rPr>
        <w:t>a</w:t>
      </w:r>
      <w:r w:rsidR="00FC63E2" w:rsidRPr="00B20A0C">
        <w:rPr>
          <w:u w:val="single"/>
        </w:rPr>
        <w:t>m</w:t>
      </w:r>
      <w:r w:rsidR="00052F15" w:rsidRPr="00B20A0C">
        <w:t xml:space="preserve"> </w:t>
      </w:r>
      <w:r w:rsidRPr="00B20A0C">
        <w:t>on</w:t>
      </w:r>
      <w:r w:rsidR="00052F15" w:rsidRPr="00B20A0C">
        <w:t xml:space="preserve"> </w:t>
      </w:r>
      <w:r w:rsidR="00C459C7">
        <w:rPr>
          <w:u w:val="single"/>
        </w:rPr>
        <w:t>Friday</w:t>
      </w:r>
      <w:r w:rsidR="00FC63E2" w:rsidRPr="00B20A0C">
        <w:rPr>
          <w:u w:val="single"/>
        </w:rPr>
        <w:t>, March 1</w:t>
      </w:r>
      <w:r w:rsidR="00C459C7">
        <w:rPr>
          <w:u w:val="single"/>
        </w:rPr>
        <w:t>3</w:t>
      </w:r>
      <w:r w:rsidR="00C459C7" w:rsidRPr="00C459C7">
        <w:rPr>
          <w:u w:val="single"/>
          <w:vertAlign w:val="superscript"/>
        </w:rPr>
        <w:t>th</w:t>
      </w:r>
      <w:r w:rsidR="00FC63E2" w:rsidRPr="00B20A0C">
        <w:rPr>
          <w:u w:val="single"/>
        </w:rPr>
        <w:t>, 2026</w:t>
      </w:r>
      <w:r w:rsidRPr="00B20A0C">
        <w:t>. The meeting</w:t>
      </w:r>
      <w:r w:rsidR="006B5624">
        <w:t xml:space="preserve"> </w:t>
      </w:r>
      <w:r w:rsidRPr="00B20A0C">
        <w:t>address</w:t>
      </w:r>
      <w:r w:rsidR="006B5624">
        <w:t>ed</w:t>
      </w:r>
      <w:r w:rsidRPr="00B20A0C">
        <w:t xml:space="preserve"> </w:t>
      </w:r>
      <w:r w:rsidR="006B5624">
        <w:t>project-specific</w:t>
      </w:r>
      <w:r w:rsidRPr="00B20A0C">
        <w:t xml:space="preserve"> questions, issues, bidding procedures</w:t>
      </w:r>
      <w:r w:rsidR="006B5624">
        <w:t>,</w:t>
      </w:r>
      <w:r w:rsidRPr="00B20A0C">
        <w:t xml:space="preserve"> and bid forms.</w:t>
      </w:r>
    </w:p>
    <w:p w14:paraId="78CD5B16" w14:textId="77777777" w:rsidR="00DF3741" w:rsidRDefault="00DF3741">
      <w:pPr>
        <w:pStyle w:val="BodyText"/>
        <w:spacing w:before="1"/>
      </w:pPr>
    </w:p>
    <w:p w14:paraId="792C623C" w14:textId="7E32E440" w:rsidR="00DF3741" w:rsidRDefault="003F5513">
      <w:pPr>
        <w:pStyle w:val="BodyText"/>
        <w:ind w:left="119"/>
        <w:jc w:val="both"/>
      </w:pPr>
      <w:r>
        <w:t xml:space="preserve">A </w:t>
      </w:r>
      <w:r w:rsidR="006B5624">
        <w:t>walk-through</w:t>
      </w:r>
      <w:r>
        <w:t xml:space="preserve"> of the Project Site</w:t>
      </w:r>
      <w:r w:rsidR="006B5624">
        <w:t xml:space="preserve"> </w:t>
      </w:r>
      <w:r>
        <w:t>follow</w:t>
      </w:r>
      <w:r w:rsidR="006B5624">
        <w:t>ed</w:t>
      </w:r>
      <w:r>
        <w:t xml:space="preserve"> the pre-bid formal meeting.</w:t>
      </w:r>
    </w:p>
    <w:p w14:paraId="36C192C1" w14:textId="77777777" w:rsidR="00DF3741" w:rsidRDefault="00DF3741">
      <w:pPr>
        <w:pStyle w:val="BodyText"/>
      </w:pPr>
    </w:p>
    <w:p w14:paraId="77047ECE" w14:textId="0B9258BE" w:rsidR="005C512E" w:rsidRPr="00F73D28" w:rsidRDefault="003F5513">
      <w:pPr>
        <w:pStyle w:val="BodyText"/>
        <w:spacing w:before="1"/>
        <w:ind w:left="119" w:right="115"/>
        <w:jc w:val="both"/>
      </w:pPr>
      <w:r>
        <w:t xml:space="preserve">Complete plans, specifications and contract documents will be made available upon request to </w:t>
      </w:r>
      <w:proofErr w:type="gramStart"/>
      <w:r>
        <w:t>bidding</w:t>
      </w:r>
      <w:proofErr w:type="gramEnd"/>
      <w:r>
        <w:t xml:space="preserve"> prime contractors in electronic format </w:t>
      </w:r>
      <w:proofErr w:type="gramStart"/>
      <w:r>
        <w:t>thru</w:t>
      </w:r>
      <w:proofErr w:type="gramEnd"/>
      <w:r>
        <w:t xml:space="preserve"> electronic mail. There will be no deposit </w:t>
      </w:r>
      <w:r w:rsidRPr="00F73D28">
        <w:t>required for the electronic files provided to the bidders.</w:t>
      </w:r>
      <w:r w:rsidR="00052F15" w:rsidRPr="00F73D28">
        <w:t xml:space="preserve">  </w:t>
      </w:r>
      <w:r w:rsidR="00E21C4D" w:rsidRPr="00F73D28">
        <w:t>If the bidding contractor requires hard copies</w:t>
      </w:r>
      <w:r w:rsidR="005C512E" w:rsidRPr="00F73D28">
        <w:t xml:space="preserve"> of the plans, specifications and contract documents, these can be obtained with a plan deposit of $100 (One hundred dollars and zero cents) from the following:</w:t>
      </w:r>
    </w:p>
    <w:p w14:paraId="42352759" w14:textId="77777777" w:rsidR="005C512E" w:rsidRPr="00F73D28" w:rsidRDefault="005C512E">
      <w:pPr>
        <w:pStyle w:val="BodyText"/>
        <w:spacing w:before="1"/>
        <w:ind w:left="119" w:right="115"/>
        <w:jc w:val="both"/>
      </w:pPr>
    </w:p>
    <w:p w14:paraId="10C3F5CA" w14:textId="77777777" w:rsidR="006B5624" w:rsidRDefault="006B5624" w:rsidP="005C512E">
      <w:pPr>
        <w:pStyle w:val="BodyText"/>
        <w:spacing w:before="1"/>
        <w:ind w:left="119" w:right="115"/>
        <w:jc w:val="center"/>
      </w:pPr>
    </w:p>
    <w:p w14:paraId="7DF9CBB3" w14:textId="77777777" w:rsidR="006B5624" w:rsidRDefault="006B5624" w:rsidP="005C512E">
      <w:pPr>
        <w:pStyle w:val="BodyText"/>
        <w:spacing w:before="1"/>
        <w:ind w:left="119" w:right="115"/>
        <w:jc w:val="center"/>
      </w:pPr>
    </w:p>
    <w:p w14:paraId="2B998AB3" w14:textId="77777777" w:rsidR="006B5624" w:rsidRDefault="006B5624" w:rsidP="005C512E">
      <w:pPr>
        <w:pStyle w:val="BodyText"/>
        <w:spacing w:before="1"/>
        <w:ind w:left="119" w:right="115"/>
        <w:jc w:val="center"/>
      </w:pPr>
    </w:p>
    <w:p w14:paraId="689A6BCD" w14:textId="77777777" w:rsidR="006B5624" w:rsidRDefault="006B5624" w:rsidP="005C512E">
      <w:pPr>
        <w:pStyle w:val="BodyText"/>
        <w:spacing w:before="1"/>
        <w:ind w:left="119" w:right="115"/>
        <w:jc w:val="center"/>
      </w:pPr>
    </w:p>
    <w:p w14:paraId="6C0BF6BF" w14:textId="77777777" w:rsidR="006B5624" w:rsidRDefault="006B5624" w:rsidP="005C512E">
      <w:pPr>
        <w:pStyle w:val="BodyText"/>
        <w:spacing w:before="1"/>
        <w:ind w:left="119" w:right="115"/>
        <w:jc w:val="center"/>
      </w:pPr>
    </w:p>
    <w:p w14:paraId="0FB3A15E" w14:textId="77777777" w:rsidR="006B5624" w:rsidRDefault="006B5624" w:rsidP="005C512E">
      <w:pPr>
        <w:pStyle w:val="BodyText"/>
        <w:spacing w:before="1"/>
        <w:ind w:left="119" w:right="115"/>
        <w:jc w:val="center"/>
      </w:pPr>
    </w:p>
    <w:p w14:paraId="3B27D2CD" w14:textId="0352848C" w:rsidR="00DF3741" w:rsidRPr="00F73D28" w:rsidRDefault="005C512E" w:rsidP="005C512E">
      <w:pPr>
        <w:pStyle w:val="BodyText"/>
        <w:spacing w:before="1"/>
        <w:ind w:left="119" w:right="115"/>
        <w:jc w:val="center"/>
      </w:pPr>
      <w:r w:rsidRPr="00F73D28">
        <w:lastRenderedPageBreak/>
        <w:t>Engineered Design</w:t>
      </w:r>
      <w:r w:rsidR="00BF2207">
        <w:t>s</w:t>
      </w:r>
      <w:r w:rsidR="00811CAF">
        <w:t xml:space="preserve"> PLLC</w:t>
      </w:r>
    </w:p>
    <w:p w14:paraId="0F30A7FE" w14:textId="13A75801" w:rsidR="005C512E" w:rsidRPr="00F73D28" w:rsidRDefault="005C512E" w:rsidP="005C512E">
      <w:pPr>
        <w:pStyle w:val="BodyText"/>
        <w:spacing w:before="1"/>
        <w:ind w:left="119" w:right="115"/>
        <w:jc w:val="center"/>
      </w:pPr>
      <w:r w:rsidRPr="00F73D28">
        <w:t>Attention</w:t>
      </w:r>
      <w:proofErr w:type="gramStart"/>
      <w:r w:rsidRPr="00F73D28">
        <w:t>:  John</w:t>
      </w:r>
      <w:proofErr w:type="gramEnd"/>
      <w:r w:rsidRPr="00F73D28">
        <w:t xml:space="preserve"> R. Quiocho, PE</w:t>
      </w:r>
      <w:r w:rsidR="00BA23E6">
        <w:t xml:space="preserve">, LEED AP, </w:t>
      </w:r>
      <w:proofErr w:type="spellStart"/>
      <w:r w:rsidR="00BA23E6">
        <w:t>CxA</w:t>
      </w:r>
      <w:proofErr w:type="spellEnd"/>
    </w:p>
    <w:p w14:paraId="2984E337" w14:textId="768295D0" w:rsidR="005C512E" w:rsidRPr="00F73D28" w:rsidRDefault="005C512E" w:rsidP="005C512E">
      <w:pPr>
        <w:pStyle w:val="BodyText"/>
        <w:spacing w:before="1"/>
        <w:ind w:left="119" w:right="115"/>
        <w:jc w:val="center"/>
      </w:pPr>
      <w:r w:rsidRPr="00F73D28">
        <w:t>1151 SE Cary Parkway, Suite 200</w:t>
      </w:r>
    </w:p>
    <w:p w14:paraId="0ABA310C" w14:textId="6E641285" w:rsidR="005C512E" w:rsidRPr="00F73D28" w:rsidRDefault="005C512E" w:rsidP="005C512E">
      <w:pPr>
        <w:pStyle w:val="BodyText"/>
        <w:spacing w:before="1"/>
        <w:ind w:left="119" w:right="115"/>
        <w:jc w:val="center"/>
      </w:pPr>
      <w:r w:rsidRPr="00F73D28">
        <w:t>Cary, NC 27518</w:t>
      </w:r>
    </w:p>
    <w:p w14:paraId="102771B4" w14:textId="713E0A1E" w:rsidR="005C512E" w:rsidRPr="00F73D28" w:rsidRDefault="005C512E" w:rsidP="005C512E">
      <w:pPr>
        <w:pStyle w:val="BodyText"/>
        <w:spacing w:before="1"/>
        <w:ind w:left="119" w:right="115"/>
        <w:jc w:val="center"/>
      </w:pPr>
      <w:r w:rsidRPr="00F73D28">
        <w:t>(919) 851-8481 main / (919) 307-4844 direct</w:t>
      </w:r>
    </w:p>
    <w:p w14:paraId="741717E2" w14:textId="2407C90A" w:rsidR="00F73D28" w:rsidRPr="00F73D28" w:rsidRDefault="00F73D28" w:rsidP="005C512E">
      <w:pPr>
        <w:pStyle w:val="BodyText"/>
        <w:spacing w:before="1"/>
        <w:ind w:left="119" w:right="115"/>
        <w:jc w:val="center"/>
      </w:pPr>
      <w:r w:rsidRPr="00F73D28">
        <w:t>Email: jquiocho@engineereddesigns.com</w:t>
      </w:r>
    </w:p>
    <w:p w14:paraId="01CED067" w14:textId="77777777" w:rsidR="00DF3741" w:rsidRDefault="00DF3741">
      <w:pPr>
        <w:pStyle w:val="BodyText"/>
        <w:spacing w:before="9"/>
        <w:rPr>
          <w:sz w:val="20"/>
        </w:rPr>
      </w:pPr>
    </w:p>
    <w:p w14:paraId="0D84D8B3" w14:textId="7BC3BCAA" w:rsidR="00D660C6" w:rsidRDefault="00D660C6">
      <w:pPr>
        <w:pStyle w:val="BodyText"/>
        <w:ind w:left="119" w:right="116"/>
        <w:jc w:val="both"/>
      </w:pPr>
      <w:r>
        <w:t xml:space="preserve">The deposit will be returned if the plans, specifications and contract documents are </w:t>
      </w:r>
      <w:proofErr w:type="gramStart"/>
      <w:r>
        <w:t>return</w:t>
      </w:r>
      <w:proofErr w:type="gramEnd"/>
      <w:r>
        <w:t xml:space="preserve"> in good condition.</w:t>
      </w:r>
    </w:p>
    <w:p w14:paraId="31E2CCFB" w14:textId="77777777" w:rsidR="00D660C6" w:rsidRDefault="00D660C6">
      <w:pPr>
        <w:pStyle w:val="BodyText"/>
        <w:ind w:left="119" w:right="116"/>
        <w:jc w:val="both"/>
      </w:pPr>
    </w:p>
    <w:p w14:paraId="761DAF4B" w14:textId="3C7A10C9" w:rsidR="00DF3741" w:rsidRPr="00052F15" w:rsidRDefault="003F5513">
      <w:pPr>
        <w:pStyle w:val="BodyText"/>
        <w:ind w:left="119" w:right="116"/>
        <w:jc w:val="both"/>
        <w:rPr>
          <w:color w:val="FF0000"/>
        </w:rPr>
      </w:pPr>
      <w:r>
        <w:t xml:space="preserve">The bidder shall include </w:t>
      </w:r>
      <w:r>
        <w:rPr>
          <w:u w:val="single"/>
        </w:rPr>
        <w:t>with the bid proposal</w:t>
      </w:r>
      <w:r>
        <w:t xml:space="preserve"> the form </w:t>
      </w:r>
      <w:r>
        <w:rPr>
          <w:i/>
        </w:rPr>
        <w:t xml:space="preserve">Identification of Minority Business Participation </w:t>
      </w:r>
      <w:r>
        <w:t xml:space="preserve">identifying the minority business participation it will use on the project </w:t>
      </w:r>
      <w:r>
        <w:rPr>
          <w:u w:val="single"/>
        </w:rPr>
        <w:t>and</w:t>
      </w:r>
      <w:r>
        <w:t xml:space="preserve"> shall include either </w:t>
      </w:r>
      <w:r>
        <w:rPr>
          <w:i/>
        </w:rPr>
        <w:t xml:space="preserve">Affidavit </w:t>
      </w:r>
      <w:r>
        <w:rPr>
          <w:b/>
          <w:i/>
        </w:rPr>
        <w:t xml:space="preserve">A </w:t>
      </w:r>
      <w:r>
        <w:t xml:space="preserve">or </w:t>
      </w:r>
      <w:r>
        <w:rPr>
          <w:i/>
        </w:rPr>
        <w:t xml:space="preserve">Affidavit </w:t>
      </w:r>
      <w:r>
        <w:rPr>
          <w:b/>
          <w:i/>
        </w:rPr>
        <w:t xml:space="preserve">B </w:t>
      </w:r>
      <w:r>
        <w:t>as applicable. Forms and instructions are included within the Proposal Form in the bid documents. Failure to complete these forms is grounds for rejection of the</w:t>
      </w:r>
      <w:r>
        <w:rPr>
          <w:spacing w:val="1"/>
        </w:rPr>
        <w:t xml:space="preserve"> </w:t>
      </w:r>
      <w:r>
        <w:t>bid.</w:t>
      </w:r>
    </w:p>
    <w:p w14:paraId="6BDAD312" w14:textId="77777777" w:rsidR="00DF3741" w:rsidRDefault="00DF3741">
      <w:pPr>
        <w:pStyle w:val="BodyText"/>
        <w:rPr>
          <w:sz w:val="20"/>
        </w:rPr>
      </w:pPr>
    </w:p>
    <w:p w14:paraId="44E05000" w14:textId="77777777" w:rsidR="00DF3741" w:rsidRDefault="003F5513">
      <w:pPr>
        <w:pStyle w:val="BodyText"/>
        <w:ind w:left="120" w:right="113" w:hanging="1"/>
        <w:jc w:val="both"/>
      </w:pPr>
      <w:r>
        <w:t>All contractors are hereby notified that they must have proper license as required under the state laws governing their respective</w:t>
      </w:r>
      <w:r>
        <w:rPr>
          <w:spacing w:val="1"/>
        </w:rPr>
        <w:t xml:space="preserve"> </w:t>
      </w:r>
      <w:r>
        <w:t>trades.</w:t>
      </w:r>
    </w:p>
    <w:p w14:paraId="6C69F095" w14:textId="77777777" w:rsidR="00DF3741" w:rsidRDefault="00DF3741">
      <w:pPr>
        <w:pStyle w:val="BodyText"/>
        <w:spacing w:before="1"/>
        <w:rPr>
          <w:sz w:val="20"/>
        </w:rPr>
      </w:pPr>
    </w:p>
    <w:p w14:paraId="3209CB99" w14:textId="77777777" w:rsidR="00DF3741" w:rsidRDefault="003F5513" w:rsidP="00F73D28">
      <w:pPr>
        <w:pStyle w:val="BodyText"/>
        <w:ind w:left="119" w:right="113"/>
        <w:jc w:val="both"/>
      </w:pPr>
      <w:r>
        <w:t>Each proposal shall be accompanied by a cash deposit or a certified check drawn on some bank or trust company, insured by the Federal Deposit Insurance Corporation, of an amount equal to not less than five percent (5%) of the proposal, or in lieu thereof a bidder may offer a bid bond of five percent (5%) of the bid executed by a surety company licensed under the laws of North Carolina to execute the contract in accordance with the bid bond. Said deposit shall be retained by the owner as liquidated damages in event of failure of the successful bidder to execute the contract within ten days after the award or to give satisfactory surety as required by law.</w:t>
      </w:r>
    </w:p>
    <w:p w14:paraId="3F191BB6" w14:textId="77777777" w:rsidR="00F73D28" w:rsidRDefault="00F73D28" w:rsidP="00F73D28">
      <w:pPr>
        <w:pStyle w:val="BodyText"/>
        <w:ind w:left="119" w:right="113"/>
        <w:jc w:val="both"/>
      </w:pPr>
    </w:p>
    <w:p w14:paraId="2E78DB24" w14:textId="77777777" w:rsidR="00F73D28" w:rsidRDefault="00F73D28" w:rsidP="00F73D28">
      <w:pPr>
        <w:pStyle w:val="BodyText"/>
        <w:spacing w:before="72"/>
        <w:ind w:left="119" w:right="216"/>
      </w:pPr>
      <w:r>
        <w:t>Payment will be made based on ninety-five percent (95%) of monthly estimates and final payment made upon completion and acceptance of work.</w:t>
      </w:r>
    </w:p>
    <w:p w14:paraId="6D7BC479" w14:textId="77777777" w:rsidR="00F73D28" w:rsidRDefault="00F73D28" w:rsidP="00F73D28">
      <w:pPr>
        <w:pStyle w:val="BodyText"/>
        <w:spacing w:before="1"/>
      </w:pPr>
    </w:p>
    <w:p w14:paraId="402D5257" w14:textId="77777777" w:rsidR="00F73D28" w:rsidRDefault="00F73D28" w:rsidP="00F73D28">
      <w:pPr>
        <w:pStyle w:val="BodyText"/>
        <w:spacing w:before="1"/>
        <w:ind w:left="119" w:right="216"/>
      </w:pPr>
      <w:r>
        <w:t>No bid may be withdrawn after the scheduled closing time for the receipt of bids for a period of 60 days.</w:t>
      </w:r>
    </w:p>
    <w:p w14:paraId="0A584F61" w14:textId="14A6563B" w:rsidR="00F73D28" w:rsidRPr="00EB6952" w:rsidRDefault="00F73D28" w:rsidP="00EB6952">
      <w:pPr>
        <w:pStyle w:val="BodyText"/>
        <w:tabs>
          <w:tab w:val="left" w:pos="5176"/>
        </w:tabs>
        <w:spacing w:before="54" w:line="506" w:lineRule="exact"/>
        <w:ind w:left="119" w:right="1821"/>
      </w:pPr>
      <w:r>
        <w:t>The owner reserves the right to reject any or all bids and to waive informalities. Designer:</w:t>
      </w:r>
      <w:r>
        <w:rPr>
          <w:rFonts w:ascii="Times New Roman"/>
        </w:rPr>
        <w:tab/>
      </w:r>
      <w:r>
        <w:t>Owner:</w:t>
      </w:r>
    </w:p>
    <w:p w14:paraId="4F995FA4" w14:textId="35B89E62" w:rsidR="00F73D28" w:rsidRDefault="00F73D28" w:rsidP="00F73D28">
      <w:pPr>
        <w:pStyle w:val="BodyText"/>
        <w:tabs>
          <w:tab w:val="left" w:pos="3719"/>
          <w:tab w:val="left" w:pos="5176"/>
        </w:tabs>
        <w:spacing w:line="198" w:lineRule="exact"/>
        <w:ind w:left="119"/>
      </w:pPr>
      <w:r>
        <w:rPr>
          <w:u w:val="single"/>
        </w:rPr>
        <w:t>Engineered Designs</w:t>
      </w:r>
      <w:r w:rsidR="00C0117F">
        <w:rPr>
          <w:u w:val="single"/>
        </w:rPr>
        <w:t xml:space="preserve"> PLLC</w:t>
      </w:r>
      <w:r>
        <w:rPr>
          <w:rFonts w:ascii="Times New Roman"/>
          <w:u w:val="single"/>
        </w:rPr>
        <w:tab/>
      </w:r>
      <w:r>
        <w:rPr>
          <w:rFonts w:ascii="Times New Roman"/>
        </w:rPr>
        <w:tab/>
      </w:r>
      <w:r w:rsidR="007235CA">
        <w:rPr>
          <w:u w:val="single"/>
        </w:rPr>
        <w:t>University of North Carolina Pembroke</w:t>
      </w:r>
    </w:p>
    <w:p w14:paraId="49F6F80F" w14:textId="77777777" w:rsidR="00F73D28" w:rsidRDefault="00F73D28" w:rsidP="00F73D28">
      <w:pPr>
        <w:tabs>
          <w:tab w:val="left" w:pos="5160"/>
        </w:tabs>
        <w:ind w:left="119"/>
        <w:rPr>
          <w:sz w:val="16"/>
        </w:rPr>
      </w:pPr>
      <w:r>
        <w:rPr>
          <w:sz w:val="16"/>
          <w:u w:val="single"/>
        </w:rPr>
        <w:t>(Name)</w:t>
      </w:r>
      <w:r>
        <w:rPr>
          <w:rFonts w:ascii="Times New Roman"/>
          <w:sz w:val="16"/>
        </w:rPr>
        <w:tab/>
      </w:r>
      <w:r>
        <w:rPr>
          <w:sz w:val="16"/>
          <w:u w:val="single"/>
        </w:rPr>
        <w:t>(Agency/Institution)</w:t>
      </w:r>
    </w:p>
    <w:p w14:paraId="22973D5B" w14:textId="77777777" w:rsidR="00F73D28" w:rsidRDefault="00F73D28" w:rsidP="00F73D28">
      <w:pPr>
        <w:pStyle w:val="BodyText"/>
        <w:rPr>
          <w:sz w:val="16"/>
        </w:rPr>
      </w:pPr>
    </w:p>
    <w:p w14:paraId="1F1980BC" w14:textId="4FDE5CB4" w:rsidR="00F73D28" w:rsidRDefault="00000000" w:rsidP="00F73D28">
      <w:pPr>
        <w:pStyle w:val="BodyText"/>
        <w:tabs>
          <w:tab w:val="left" w:pos="5162"/>
        </w:tabs>
        <w:ind w:firstLine="5162"/>
      </w:pPr>
      <w:r>
        <w:rPr>
          <w:noProof/>
        </w:rPr>
        <w:pict w14:anchorId="579B2712">
          <v:line id="_x0000_s2053" style="position:absolute;left:0;text-align:left;z-index:251660288;mso-position-horizontal-relative:page" from="320.6pt,11.95pt" to="505.75pt,11.95pt" strokeweight=".84pt">
            <w10:wrap anchorx="page"/>
          </v:line>
        </w:pict>
      </w:r>
      <w:r>
        <w:pict w14:anchorId="7636C6E3">
          <v:line id="_x0000_s2052" style="position:absolute;left:0;text-align:left;z-index:251659264;mso-position-horizontal-relative:page" from="1in,11.95pt" to="257.15pt,11.95pt" strokeweight=".84pt">
            <w10:wrap anchorx="page"/>
          </v:line>
        </w:pict>
      </w:r>
      <w:r w:rsidR="007235CA">
        <w:t>Planning, Design and Construction</w:t>
      </w:r>
    </w:p>
    <w:p w14:paraId="306C7A60" w14:textId="77777777" w:rsidR="00F73D28" w:rsidRDefault="00F73D28" w:rsidP="00F73D28">
      <w:pPr>
        <w:pStyle w:val="BodyText"/>
        <w:spacing w:before="10"/>
        <w:rPr>
          <w:sz w:val="13"/>
        </w:rPr>
      </w:pPr>
    </w:p>
    <w:p w14:paraId="4C9F72B1" w14:textId="5A2C5502" w:rsidR="00F73D28" w:rsidRDefault="00F73D28" w:rsidP="00F73D28">
      <w:pPr>
        <w:pStyle w:val="BodyText"/>
        <w:tabs>
          <w:tab w:val="left" w:pos="4082"/>
          <w:tab w:val="left" w:pos="5159"/>
          <w:tab w:val="left" w:pos="9479"/>
        </w:tabs>
        <w:spacing w:before="94"/>
        <w:ind w:left="119"/>
        <w:rPr>
          <w:rFonts w:ascii="Times New Roman"/>
        </w:rPr>
      </w:pPr>
      <w:r w:rsidRPr="00F73D28">
        <w:rPr>
          <w:u w:val="single"/>
        </w:rPr>
        <w:t>1151 SE Cary Parkway, Cary, NC 27518</w:t>
      </w:r>
      <w:r>
        <w:rPr>
          <w:rFonts w:ascii="Times New Roman"/>
        </w:rPr>
        <w:tab/>
      </w:r>
      <w:r w:rsidR="007235CA">
        <w:rPr>
          <w:u w:val="single"/>
        </w:rPr>
        <w:t>One University Drive, Pembroke</w:t>
      </w:r>
      <w:r>
        <w:rPr>
          <w:u w:val="single"/>
        </w:rPr>
        <w:t>, NC</w:t>
      </w:r>
      <w:r>
        <w:rPr>
          <w:spacing w:val="54"/>
          <w:u w:val="single"/>
        </w:rPr>
        <w:t xml:space="preserve"> </w:t>
      </w:r>
      <w:r>
        <w:rPr>
          <w:u w:val="single"/>
        </w:rPr>
        <w:t>2</w:t>
      </w:r>
      <w:r w:rsidR="007235CA">
        <w:rPr>
          <w:u w:val="single"/>
        </w:rPr>
        <w:t>8372</w:t>
      </w:r>
      <w:r>
        <w:rPr>
          <w:rFonts w:ascii="Times New Roman"/>
          <w:u w:val="single"/>
        </w:rPr>
        <w:tab/>
      </w:r>
    </w:p>
    <w:p w14:paraId="1BFFC486" w14:textId="77777777" w:rsidR="00F73D28" w:rsidRDefault="00F73D28" w:rsidP="00F73D28">
      <w:pPr>
        <w:tabs>
          <w:tab w:val="left" w:pos="5160"/>
        </w:tabs>
        <w:ind w:left="119"/>
        <w:rPr>
          <w:sz w:val="16"/>
        </w:rPr>
      </w:pPr>
      <w:r>
        <w:rPr>
          <w:sz w:val="16"/>
          <w:u w:val="single"/>
        </w:rPr>
        <w:t>(Address)</w:t>
      </w:r>
      <w:r>
        <w:rPr>
          <w:rFonts w:ascii="Times New Roman"/>
          <w:sz w:val="16"/>
        </w:rPr>
        <w:tab/>
      </w:r>
      <w:r>
        <w:rPr>
          <w:sz w:val="16"/>
          <w:u w:val="single"/>
        </w:rPr>
        <w:t>(Address)</w:t>
      </w:r>
    </w:p>
    <w:p w14:paraId="3E230273" w14:textId="77777777" w:rsidR="00F73D28" w:rsidRDefault="00F73D28" w:rsidP="00F73D28">
      <w:pPr>
        <w:pStyle w:val="BodyText"/>
        <w:spacing w:before="10"/>
        <w:rPr>
          <w:sz w:val="15"/>
        </w:rPr>
      </w:pPr>
    </w:p>
    <w:p w14:paraId="6021D157" w14:textId="03BB226D" w:rsidR="00F73D28" w:rsidRDefault="00F73D28" w:rsidP="00F73D28">
      <w:pPr>
        <w:pStyle w:val="BodyText"/>
        <w:tabs>
          <w:tab w:val="left" w:pos="2999"/>
          <w:tab w:val="left" w:pos="5188"/>
          <w:tab w:val="left" w:pos="9479"/>
        </w:tabs>
        <w:ind w:left="119"/>
        <w:rPr>
          <w:rFonts w:ascii="Times New Roman"/>
        </w:rPr>
      </w:pPr>
      <w:r w:rsidRPr="00F73D28">
        <w:rPr>
          <w:u w:val="single"/>
        </w:rPr>
        <w:t xml:space="preserve">(919) </w:t>
      </w:r>
      <w:r w:rsidR="00E23E8D">
        <w:rPr>
          <w:u w:val="single"/>
        </w:rPr>
        <w:t>307</w:t>
      </w:r>
      <w:r w:rsidRPr="00F73D28">
        <w:rPr>
          <w:u w:val="single"/>
        </w:rPr>
        <w:t>-</w:t>
      </w:r>
      <w:r w:rsidR="00E23E8D">
        <w:rPr>
          <w:u w:val="single"/>
        </w:rPr>
        <w:t>4844</w:t>
      </w:r>
      <w:proofErr w:type="gramStart"/>
      <w:r w:rsidR="00F65967">
        <w:rPr>
          <w:u w:val="single"/>
        </w:rPr>
        <w:t>/(</w:t>
      </w:r>
      <w:proofErr w:type="gramEnd"/>
      <w:r w:rsidR="00F65967">
        <w:rPr>
          <w:u w:val="single"/>
        </w:rPr>
        <w:t>919) 418-6481 (cell)</w:t>
      </w:r>
      <w:r>
        <w:rPr>
          <w:rFonts w:ascii="Times New Roman"/>
        </w:rPr>
        <w:tab/>
      </w:r>
      <w:r w:rsidR="007235CA" w:rsidRPr="007235CA">
        <w:rPr>
          <w:u w:val="single"/>
        </w:rPr>
        <w:t>(910) 775-4576</w:t>
      </w:r>
    </w:p>
    <w:p w14:paraId="0C68CF19" w14:textId="77777777" w:rsidR="00F73D28" w:rsidRDefault="00F73D28" w:rsidP="00F73D28">
      <w:pPr>
        <w:tabs>
          <w:tab w:val="left" w:pos="5160"/>
        </w:tabs>
        <w:ind w:left="119"/>
        <w:rPr>
          <w:sz w:val="16"/>
        </w:rPr>
      </w:pPr>
      <w:r>
        <w:rPr>
          <w:sz w:val="16"/>
          <w:u w:val="single"/>
        </w:rPr>
        <w:t>(Phone)</w:t>
      </w:r>
      <w:r>
        <w:rPr>
          <w:rFonts w:ascii="Times New Roman"/>
          <w:sz w:val="16"/>
        </w:rPr>
        <w:tab/>
      </w:r>
      <w:r>
        <w:rPr>
          <w:sz w:val="16"/>
          <w:u w:val="single"/>
        </w:rPr>
        <w:t>(Phone)</w:t>
      </w:r>
    </w:p>
    <w:p w14:paraId="2BDDB96A" w14:textId="77777777" w:rsidR="00F73D28" w:rsidRDefault="00F73D28" w:rsidP="00F73D28">
      <w:pPr>
        <w:pStyle w:val="BodyText"/>
        <w:rPr>
          <w:sz w:val="16"/>
        </w:rPr>
      </w:pPr>
    </w:p>
    <w:p w14:paraId="41E087C9" w14:textId="4781A066" w:rsidR="00F65967" w:rsidRPr="0056420F" w:rsidRDefault="00F65967" w:rsidP="00F73D28">
      <w:pPr>
        <w:tabs>
          <w:tab w:val="left" w:pos="2999"/>
          <w:tab w:val="left" w:pos="5189"/>
        </w:tabs>
        <w:spacing w:before="1"/>
        <w:ind w:left="119"/>
      </w:pPr>
      <w:r>
        <w:rPr>
          <w:u w:val="single"/>
        </w:rPr>
        <w:t>Contact: John Quiocho</w:t>
      </w:r>
      <w:r w:rsidR="0056420F">
        <w:tab/>
      </w:r>
      <w:r w:rsidR="0056420F">
        <w:tab/>
      </w:r>
      <w:r w:rsidR="0056420F" w:rsidRPr="00F65967">
        <w:rPr>
          <w:iCs/>
          <w:u w:val="single"/>
        </w:rPr>
        <w:t>Contact:</w:t>
      </w:r>
      <w:r w:rsidR="007235CA">
        <w:rPr>
          <w:iCs/>
          <w:u w:val="single"/>
        </w:rPr>
        <w:t xml:space="preserve"> Matt Greene</w:t>
      </w:r>
    </w:p>
    <w:p w14:paraId="741EEE59" w14:textId="4FB97BCC" w:rsidR="00F73D28" w:rsidRPr="00F65967" w:rsidRDefault="004065D2" w:rsidP="00F73D28">
      <w:pPr>
        <w:tabs>
          <w:tab w:val="left" w:pos="2999"/>
          <w:tab w:val="left" w:pos="5189"/>
        </w:tabs>
        <w:spacing w:before="1"/>
        <w:ind w:left="119"/>
        <w:rPr>
          <w:iCs/>
        </w:rPr>
      </w:pPr>
      <w:hyperlink r:id="rId7" w:history="1">
        <w:r w:rsidRPr="002A7AA3">
          <w:rPr>
            <w:rStyle w:val="Hyperlink"/>
          </w:rPr>
          <w:t>jquiocho@engineereddesigns.com</w:t>
        </w:r>
      </w:hyperlink>
      <w:r>
        <w:rPr>
          <w:rFonts w:ascii="Times New Roman"/>
        </w:rPr>
        <w:tab/>
      </w:r>
      <w:r w:rsidR="007235CA" w:rsidRPr="007235CA">
        <w:rPr>
          <w:iCs/>
          <w:u w:val="single"/>
        </w:rPr>
        <w:t>matt.greene@uncp.edu</w:t>
      </w:r>
    </w:p>
    <w:p w14:paraId="76AB885B" w14:textId="493F0216" w:rsidR="00F73D28" w:rsidRPr="00F65967" w:rsidRDefault="00F73D28" w:rsidP="00EB6952">
      <w:pPr>
        <w:tabs>
          <w:tab w:val="left" w:pos="5159"/>
        </w:tabs>
        <w:ind w:left="119"/>
        <w:rPr>
          <w:iCs/>
        </w:rPr>
      </w:pPr>
      <w:r w:rsidRPr="00F65967">
        <w:rPr>
          <w:rFonts w:ascii="Times New Roman"/>
          <w:iCs/>
          <w:sz w:val="16"/>
        </w:rPr>
        <w:tab/>
      </w:r>
      <w:r w:rsidR="00EB6952" w:rsidRPr="00F65967">
        <w:rPr>
          <w:iCs/>
        </w:rPr>
        <w:t xml:space="preserve"> </w:t>
      </w:r>
    </w:p>
    <w:sectPr w:rsidR="00F73D28" w:rsidRPr="00F65967" w:rsidSect="00F04BA1">
      <w:footerReference w:type="default" r:id="rId8"/>
      <w:pgSz w:w="12240" w:h="15840"/>
      <w:pgMar w:top="900" w:right="1320" w:bottom="1350" w:left="1320" w:header="0" w:footer="10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DE8EA" w14:textId="77777777" w:rsidR="0095304A" w:rsidRDefault="0095304A">
      <w:r>
        <w:separator/>
      </w:r>
    </w:p>
  </w:endnote>
  <w:endnote w:type="continuationSeparator" w:id="0">
    <w:p w14:paraId="66E52424" w14:textId="77777777" w:rsidR="0095304A" w:rsidRDefault="0095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CF57" w14:textId="77777777" w:rsidR="00DF3741" w:rsidRDefault="00000000">
    <w:pPr>
      <w:pStyle w:val="BodyText"/>
      <w:spacing w:line="14" w:lineRule="auto"/>
      <w:rPr>
        <w:sz w:val="20"/>
      </w:rPr>
    </w:pPr>
    <w:r>
      <w:pict w14:anchorId="7256D75D">
        <v:shapetype id="_x0000_t202" coordsize="21600,21600" o:spt="202" path="m,l,21600r21600,l21600,xe">
          <v:stroke joinstyle="miter"/>
          <v:path gradientshapeok="t" o:connecttype="rect"/>
        </v:shapetype>
        <v:shape id="_x0000_s1025" type="#_x0000_t202" style="position:absolute;margin-left:71pt;margin-top:730.55pt;width:190.45pt;height:12.1pt;z-index:-251658752;mso-position-horizontal-relative:page;mso-position-vertical-relative:page" filled="f" stroked="f">
          <v:textbox style="mso-next-textbox:#_x0000_s1025" inset="0,0,0,0">
            <w:txbxContent>
              <w:p w14:paraId="1BA335DB" w14:textId="77777777" w:rsidR="00DF3741" w:rsidRDefault="003F5513">
                <w:pPr>
                  <w:spacing w:before="14"/>
                  <w:ind w:left="20"/>
                  <w:rPr>
                    <w:sz w:val="16"/>
                  </w:rPr>
                </w:pPr>
                <w:r>
                  <w:rPr>
                    <w:sz w:val="18"/>
                  </w:rPr>
                  <w:t xml:space="preserve">SCO-Notice </w:t>
                </w:r>
                <w:proofErr w:type="gramStart"/>
                <w:r>
                  <w:rPr>
                    <w:sz w:val="18"/>
                  </w:rPr>
                  <w:t>To</w:t>
                </w:r>
                <w:proofErr w:type="gramEnd"/>
                <w:r>
                  <w:rPr>
                    <w:sz w:val="18"/>
                  </w:rPr>
                  <w:t xml:space="preserve"> Bidders 2008 </w:t>
                </w:r>
                <w:r>
                  <w:rPr>
                    <w:sz w:val="16"/>
                  </w:rPr>
                  <w:t>(Update Feb. 2008)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9A0B" w14:textId="77777777" w:rsidR="0095304A" w:rsidRDefault="0095304A">
      <w:r>
        <w:separator/>
      </w:r>
    </w:p>
  </w:footnote>
  <w:footnote w:type="continuationSeparator" w:id="0">
    <w:p w14:paraId="6BF46DD3" w14:textId="77777777" w:rsidR="0095304A" w:rsidRDefault="00953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F3741"/>
    <w:rsid w:val="00020AD2"/>
    <w:rsid w:val="00043E54"/>
    <w:rsid w:val="00052F15"/>
    <w:rsid w:val="000A75A5"/>
    <w:rsid w:val="001A7159"/>
    <w:rsid w:val="001F52ED"/>
    <w:rsid w:val="0025052E"/>
    <w:rsid w:val="002A1321"/>
    <w:rsid w:val="002B2ADE"/>
    <w:rsid w:val="0031226C"/>
    <w:rsid w:val="003652A6"/>
    <w:rsid w:val="003F5513"/>
    <w:rsid w:val="004065D2"/>
    <w:rsid w:val="004132FE"/>
    <w:rsid w:val="00426175"/>
    <w:rsid w:val="004A7B15"/>
    <w:rsid w:val="004F378D"/>
    <w:rsid w:val="004F66B0"/>
    <w:rsid w:val="00513AB1"/>
    <w:rsid w:val="0056420F"/>
    <w:rsid w:val="005A4143"/>
    <w:rsid w:val="005C512E"/>
    <w:rsid w:val="00631B8C"/>
    <w:rsid w:val="00634DFC"/>
    <w:rsid w:val="006940F3"/>
    <w:rsid w:val="006B5624"/>
    <w:rsid w:val="00713D76"/>
    <w:rsid w:val="007235CA"/>
    <w:rsid w:val="00726AE0"/>
    <w:rsid w:val="00742F50"/>
    <w:rsid w:val="0075414D"/>
    <w:rsid w:val="007D49C3"/>
    <w:rsid w:val="007F2811"/>
    <w:rsid w:val="00811CAF"/>
    <w:rsid w:val="008154A6"/>
    <w:rsid w:val="0082239E"/>
    <w:rsid w:val="008428D7"/>
    <w:rsid w:val="00847011"/>
    <w:rsid w:val="00864D37"/>
    <w:rsid w:val="008B1B53"/>
    <w:rsid w:val="008C0F11"/>
    <w:rsid w:val="0095304A"/>
    <w:rsid w:val="009A39A2"/>
    <w:rsid w:val="00A518B8"/>
    <w:rsid w:val="00AB5E3B"/>
    <w:rsid w:val="00AE15B5"/>
    <w:rsid w:val="00B07423"/>
    <w:rsid w:val="00B1298C"/>
    <w:rsid w:val="00B169AF"/>
    <w:rsid w:val="00B20A0C"/>
    <w:rsid w:val="00BA198E"/>
    <w:rsid w:val="00BA23E6"/>
    <w:rsid w:val="00BE5826"/>
    <w:rsid w:val="00BF2207"/>
    <w:rsid w:val="00BF7632"/>
    <w:rsid w:val="00C0117F"/>
    <w:rsid w:val="00C459C7"/>
    <w:rsid w:val="00C61D34"/>
    <w:rsid w:val="00CE2A75"/>
    <w:rsid w:val="00D15A51"/>
    <w:rsid w:val="00D17978"/>
    <w:rsid w:val="00D24DC6"/>
    <w:rsid w:val="00D65F22"/>
    <w:rsid w:val="00D660C6"/>
    <w:rsid w:val="00DF3741"/>
    <w:rsid w:val="00E21C4D"/>
    <w:rsid w:val="00E23E8D"/>
    <w:rsid w:val="00EB6952"/>
    <w:rsid w:val="00ED3B94"/>
    <w:rsid w:val="00F04BA1"/>
    <w:rsid w:val="00F156AD"/>
    <w:rsid w:val="00F4086A"/>
    <w:rsid w:val="00F572A5"/>
    <w:rsid w:val="00F65967"/>
    <w:rsid w:val="00F67A54"/>
    <w:rsid w:val="00F73D28"/>
    <w:rsid w:val="00F92162"/>
    <w:rsid w:val="00FA1DD1"/>
    <w:rsid w:val="00FC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0545270"/>
  <w15:docId w15:val="{F10DED1A-31F5-4286-B809-25600A98B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3D28"/>
    <w:pPr>
      <w:tabs>
        <w:tab w:val="center" w:pos="4680"/>
        <w:tab w:val="right" w:pos="9360"/>
      </w:tabs>
    </w:pPr>
  </w:style>
  <w:style w:type="character" w:customStyle="1" w:styleId="HeaderChar">
    <w:name w:val="Header Char"/>
    <w:basedOn w:val="DefaultParagraphFont"/>
    <w:link w:val="Header"/>
    <w:uiPriority w:val="99"/>
    <w:rsid w:val="00F73D28"/>
    <w:rPr>
      <w:rFonts w:ascii="Arial" w:eastAsia="Arial" w:hAnsi="Arial" w:cs="Arial"/>
    </w:rPr>
  </w:style>
  <w:style w:type="paragraph" w:styleId="Footer">
    <w:name w:val="footer"/>
    <w:basedOn w:val="Normal"/>
    <w:link w:val="FooterChar"/>
    <w:uiPriority w:val="99"/>
    <w:unhideWhenUsed/>
    <w:rsid w:val="00F73D28"/>
    <w:pPr>
      <w:tabs>
        <w:tab w:val="center" w:pos="4680"/>
        <w:tab w:val="right" w:pos="9360"/>
      </w:tabs>
    </w:pPr>
  </w:style>
  <w:style w:type="character" w:customStyle="1" w:styleId="FooterChar">
    <w:name w:val="Footer Char"/>
    <w:basedOn w:val="DefaultParagraphFont"/>
    <w:link w:val="Footer"/>
    <w:uiPriority w:val="99"/>
    <w:rsid w:val="00F73D28"/>
    <w:rPr>
      <w:rFonts w:ascii="Arial" w:eastAsia="Arial" w:hAnsi="Arial" w:cs="Arial"/>
    </w:rPr>
  </w:style>
  <w:style w:type="character" w:styleId="Hyperlink">
    <w:name w:val="Hyperlink"/>
    <w:basedOn w:val="DefaultParagraphFont"/>
    <w:uiPriority w:val="99"/>
    <w:unhideWhenUsed/>
    <w:rsid w:val="004065D2"/>
    <w:rPr>
      <w:color w:val="0000FF" w:themeColor="hyperlink"/>
      <w:u w:val="single"/>
    </w:rPr>
  </w:style>
  <w:style w:type="character" w:styleId="UnresolvedMention">
    <w:name w:val="Unresolved Mention"/>
    <w:basedOn w:val="DefaultParagraphFont"/>
    <w:uiPriority w:val="99"/>
    <w:semiHidden/>
    <w:unhideWhenUsed/>
    <w:rsid w:val="00406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quiocho@engineereddesig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lbgc.org/pages/LawNReg.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2</Pages>
  <Words>876</Words>
  <Characters>4753</Characters>
  <Application>Microsoft Office Word</Application>
  <DocSecurity>0</DocSecurity>
  <Lines>99</Lines>
  <Paragraphs>44</Paragraphs>
  <ScaleCrop>false</ScaleCrop>
  <HeadingPairs>
    <vt:vector size="2" baseType="variant">
      <vt:variant>
        <vt:lpstr>Title</vt:lpstr>
      </vt:variant>
      <vt:variant>
        <vt:i4>1</vt:i4>
      </vt:variant>
    </vt:vector>
  </HeadingPairs>
  <TitlesOfParts>
    <vt:vector size="1" baseType="lpstr">
      <vt:lpstr>SECTION 302 NOTICE TO BIDDERS</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 NOTICE TO BIDDERS</dc:title>
  <dc:creator>Donald L. Grady</dc:creator>
  <cp:lastModifiedBy>Craymon Strickland Jr</cp:lastModifiedBy>
  <cp:revision>40</cp:revision>
  <cp:lastPrinted>2026-03-04T21:57:00Z</cp:lastPrinted>
  <dcterms:created xsi:type="dcterms:W3CDTF">2019-08-20T18:21:00Z</dcterms:created>
  <dcterms:modified xsi:type="dcterms:W3CDTF">2026-04-01T20:18:00Z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2019-08-14T00:00:00Z</vt:filetime>
  </property>
  <property fmtid="{D5CDD505-2E9C-101B-9397-08002B2CF9AE}" pid="3" name="Creator">
    <vt:lpwstr>Bluebeam Stapler 12.6.0</vt:lpwstr>
  </property>
  <property fmtid="{D5CDD505-2E9C-101B-9397-08002B2CF9AE}" pid="4" name="LastSaved">
    <vt:filetime>2019-08-20T00:00:00Z</vt:filetime>
  </property>
  <property fmtid="{D5CDD505-2E9C-101B-9397-08002B2CF9AE}" pid="5" name="GrammarlyDocumentId">
    <vt:lpwstr>f2fca8b7-b64c-4e8c-a909-36bc6a503821</vt:lpwstr>
  </property>
  <property fmtid="{D5CDD505-2E9C-101B-9397-08002B2CF9AE}" pid="6" name="MSIP_Label_d02437dd-2777-4767-9eac-36c9d699896f_Enabled">
    <vt:lpwstr>true</vt:lpwstr>
  </property>
  <property fmtid="{D5CDD505-2E9C-101B-9397-08002B2CF9AE}" pid="7" name="MSIP_Label_d02437dd-2777-4767-9eac-36c9d699896f_SetDate">
    <vt:lpwstr>2026-04-01T20:18:09Z</vt:lpwstr>
  </property>
  <property fmtid="{D5CDD505-2E9C-101B-9397-08002B2CF9AE}" pid="8" name="MSIP_Label_d02437dd-2777-4767-9eac-36c9d699896f_Method">
    <vt:lpwstr>Standard</vt:lpwstr>
  </property>
  <property fmtid="{D5CDD505-2E9C-101B-9397-08002B2CF9AE}" pid="9" name="MSIP_Label_d02437dd-2777-4767-9eac-36c9d699896f_Name">
    <vt:lpwstr>defa4170-0d19-0005-0004-bc88714345d2</vt:lpwstr>
  </property>
  <property fmtid="{D5CDD505-2E9C-101B-9397-08002B2CF9AE}" pid="10" name="MSIP_Label_d02437dd-2777-4767-9eac-36c9d699896f_SiteId">
    <vt:lpwstr>1aa2e328-7d0f-4fd1-9216-c479a1c14f9d</vt:lpwstr>
  </property>
  <property fmtid="{D5CDD505-2E9C-101B-9397-08002B2CF9AE}" pid="11" name="MSIP_Label_d02437dd-2777-4767-9eac-36c9d699896f_ActionId">
    <vt:lpwstr>55ef198f-8a40-483b-b58f-4622a535e58f</vt:lpwstr>
  </property>
  <property fmtid="{D5CDD505-2E9C-101B-9397-08002B2CF9AE}" pid="12" name="MSIP_Label_d02437dd-2777-4767-9eac-36c9d699896f_ContentBits">
    <vt:lpwstr>0</vt:lpwstr>
  </property>
  <property fmtid="{D5CDD505-2E9C-101B-9397-08002B2CF9AE}" pid="13" name="MSIP_Label_d02437dd-2777-4767-9eac-36c9d699896f_Tag">
    <vt:lpwstr>10, 3, 0, 1</vt:lpwstr>
  </property>
</Properties>
</file>