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8FBA" w14:textId="1A1CD722" w:rsidR="007F04DE" w:rsidRDefault="007F04DE" w:rsidP="007F04DE">
      <w:pPr>
        <w:jc w:val="center"/>
        <w:rPr>
          <w:rFonts w:ascii="Times New Roman" w:hAnsi="Times New Roman" w:cs="Times New Roman"/>
          <w:sz w:val="24"/>
          <w:szCs w:val="24"/>
        </w:rPr>
      </w:pPr>
      <w:r>
        <w:rPr>
          <w:rFonts w:ascii="Times New Roman" w:hAnsi="Times New Roman" w:cs="Times New Roman"/>
          <w:sz w:val="24"/>
          <w:szCs w:val="24"/>
        </w:rPr>
        <w:t>POL 02.65.03</w:t>
      </w:r>
    </w:p>
    <w:p w14:paraId="7D7115E5" w14:textId="59063246" w:rsidR="007F04DE" w:rsidRPr="007F04DE" w:rsidRDefault="007F04DE" w:rsidP="007F04DE">
      <w:pPr>
        <w:jc w:val="center"/>
        <w:rPr>
          <w:rFonts w:ascii="Times New Roman" w:hAnsi="Times New Roman" w:cs="Times New Roman"/>
          <w:sz w:val="24"/>
          <w:szCs w:val="24"/>
        </w:rPr>
      </w:pPr>
      <w:r w:rsidRPr="007F04DE">
        <w:rPr>
          <w:rFonts w:ascii="Times New Roman" w:hAnsi="Times New Roman" w:cs="Times New Roman"/>
          <w:sz w:val="24"/>
          <w:szCs w:val="24"/>
        </w:rPr>
        <w:t>Public Records Requests</w:t>
      </w:r>
    </w:p>
    <w:p w14:paraId="2C5C9FE6" w14:textId="051787CE"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b/>
          <w:bCs/>
          <w:sz w:val="24"/>
          <w:szCs w:val="24"/>
        </w:rPr>
        <w:t>Authority:</w:t>
      </w:r>
      <w:r>
        <w:rPr>
          <w:rFonts w:ascii="Times New Roman" w:hAnsi="Times New Roman" w:cs="Times New Roman"/>
          <w:sz w:val="24"/>
          <w:szCs w:val="24"/>
        </w:rPr>
        <w:t xml:space="preserve"> </w:t>
      </w:r>
      <w:r w:rsidRPr="007F04DE">
        <w:rPr>
          <w:rFonts w:ascii="Times New Roman" w:hAnsi="Times New Roman" w:cs="Times New Roman"/>
          <w:sz w:val="24"/>
          <w:szCs w:val="24"/>
        </w:rPr>
        <w:t>Chancellor</w:t>
      </w:r>
    </w:p>
    <w:p w14:paraId="786EF60B" w14:textId="40532DC6"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b/>
          <w:bCs/>
          <w:sz w:val="24"/>
          <w:szCs w:val="24"/>
        </w:rPr>
        <w:t>History:</w:t>
      </w:r>
      <w:r>
        <w:rPr>
          <w:rFonts w:ascii="Times New Roman" w:hAnsi="Times New Roman" w:cs="Times New Roman"/>
          <w:sz w:val="24"/>
          <w:szCs w:val="24"/>
        </w:rPr>
        <w:t xml:space="preserve"> </w:t>
      </w:r>
      <w:r w:rsidR="00462957">
        <w:rPr>
          <w:rFonts w:ascii="Times New Roman" w:hAnsi="Times New Roman" w:cs="Times New Roman"/>
          <w:sz w:val="24"/>
          <w:szCs w:val="24"/>
        </w:rPr>
        <w:t xml:space="preserve">First Issued: </w:t>
      </w:r>
      <w:r w:rsidR="00895FC4">
        <w:rPr>
          <w:rFonts w:ascii="Times New Roman" w:hAnsi="Times New Roman" w:cs="Times New Roman"/>
          <w:sz w:val="24"/>
          <w:szCs w:val="24"/>
        </w:rPr>
        <w:t>June 11,</w:t>
      </w:r>
      <w:r w:rsidR="004A5426">
        <w:rPr>
          <w:rFonts w:ascii="Times New Roman" w:hAnsi="Times New Roman" w:cs="Times New Roman"/>
          <w:sz w:val="24"/>
          <w:szCs w:val="24"/>
        </w:rPr>
        <w:t xml:space="preserve"> </w:t>
      </w:r>
      <w:r>
        <w:rPr>
          <w:rFonts w:ascii="Times New Roman" w:hAnsi="Times New Roman" w:cs="Times New Roman"/>
          <w:sz w:val="24"/>
          <w:szCs w:val="24"/>
        </w:rPr>
        <w:t>2024</w:t>
      </w:r>
    </w:p>
    <w:p w14:paraId="1283EEED" w14:textId="67C3280F" w:rsidR="007F04DE" w:rsidRPr="00F077C5" w:rsidRDefault="007F04DE" w:rsidP="007F04DE">
      <w:pPr>
        <w:rPr>
          <w:rFonts w:ascii="Times New Roman" w:hAnsi="Times New Roman" w:cs="Times New Roman"/>
          <w:b/>
          <w:bCs/>
          <w:sz w:val="24"/>
          <w:szCs w:val="24"/>
        </w:rPr>
      </w:pPr>
      <w:r w:rsidRPr="00F077C5">
        <w:rPr>
          <w:rFonts w:ascii="Times New Roman" w:hAnsi="Times New Roman" w:cs="Times New Roman"/>
          <w:b/>
          <w:bCs/>
          <w:sz w:val="24"/>
          <w:szCs w:val="24"/>
        </w:rPr>
        <w:t>Related Policies</w:t>
      </w:r>
      <w:r w:rsidR="00F077C5">
        <w:rPr>
          <w:rFonts w:ascii="Times New Roman" w:hAnsi="Times New Roman" w:cs="Times New Roman"/>
          <w:b/>
          <w:bCs/>
          <w:sz w:val="24"/>
          <w:szCs w:val="24"/>
        </w:rPr>
        <w:t>:</w:t>
      </w:r>
      <w:r w:rsidRPr="00F077C5">
        <w:rPr>
          <w:rFonts w:ascii="Times New Roman" w:hAnsi="Times New Roman" w:cs="Times New Roman"/>
          <w:b/>
          <w:bCs/>
          <w:sz w:val="24"/>
          <w:szCs w:val="24"/>
        </w:rPr>
        <w:tab/>
      </w:r>
    </w:p>
    <w:p w14:paraId="6A71B5BD" w14:textId="24A05786" w:rsidR="007F04DE" w:rsidRPr="00F077C5" w:rsidRDefault="00895FC4" w:rsidP="00F077C5">
      <w:pPr>
        <w:pStyle w:val="ListParagraph"/>
        <w:numPr>
          <w:ilvl w:val="0"/>
          <w:numId w:val="1"/>
        </w:numPr>
        <w:rPr>
          <w:rFonts w:ascii="Times New Roman" w:hAnsi="Times New Roman" w:cs="Times New Roman"/>
          <w:sz w:val="24"/>
          <w:szCs w:val="24"/>
        </w:rPr>
      </w:pPr>
      <w:hyperlink r:id="rId5" w:history="1">
        <w:r w:rsidR="007F04DE" w:rsidRPr="00F57FFC">
          <w:rPr>
            <w:rStyle w:val="Hyperlink"/>
            <w:rFonts w:ascii="Times New Roman" w:hAnsi="Times New Roman" w:cs="Times New Roman"/>
            <w:sz w:val="24"/>
            <w:szCs w:val="24"/>
          </w:rPr>
          <w:t>UNC Policy Manual Section 502, Chancellors of Constituent Institutions</w:t>
        </w:r>
      </w:hyperlink>
    </w:p>
    <w:p w14:paraId="5BC4CA40" w14:textId="1A9F0A77" w:rsidR="00F57FFC" w:rsidRDefault="00895FC4" w:rsidP="00F077C5">
      <w:pPr>
        <w:pStyle w:val="ListParagraph"/>
        <w:numPr>
          <w:ilvl w:val="0"/>
          <w:numId w:val="1"/>
        </w:numPr>
        <w:rPr>
          <w:rFonts w:ascii="Times New Roman" w:hAnsi="Times New Roman" w:cs="Times New Roman"/>
          <w:sz w:val="24"/>
          <w:szCs w:val="24"/>
        </w:rPr>
      </w:pPr>
      <w:hyperlink r:id="rId6">
        <w:r w:rsidR="00F57FFC" w:rsidRPr="79D07F72">
          <w:rPr>
            <w:rStyle w:val="Hyperlink"/>
            <w:rFonts w:ascii="Times New Roman" w:hAnsi="Times New Roman" w:cs="Times New Roman"/>
            <w:sz w:val="24"/>
            <w:szCs w:val="24"/>
          </w:rPr>
          <w:t>POL 02.65.01 - Federal Family Educational Rights and Privacy Act (FERPA) Policy</w:t>
        </w:r>
      </w:hyperlink>
    </w:p>
    <w:p w14:paraId="27293C70" w14:textId="4ED662E0" w:rsidR="007F04DE" w:rsidRPr="00F077C5" w:rsidRDefault="6EC06E03" w:rsidP="79D07F72">
      <w:pPr>
        <w:rPr>
          <w:rFonts w:ascii="Times New Roman" w:hAnsi="Times New Roman" w:cs="Times New Roman"/>
          <w:sz w:val="24"/>
          <w:szCs w:val="24"/>
        </w:rPr>
      </w:pPr>
      <w:r w:rsidRPr="79D07F72">
        <w:rPr>
          <w:rFonts w:ascii="Times New Roman" w:hAnsi="Times New Roman" w:cs="Times New Roman"/>
          <w:b/>
          <w:bCs/>
          <w:sz w:val="24"/>
          <w:szCs w:val="24"/>
        </w:rPr>
        <w:t>A</w:t>
      </w:r>
      <w:r w:rsidR="007F04DE" w:rsidRPr="79D07F72">
        <w:rPr>
          <w:rFonts w:ascii="Times New Roman" w:hAnsi="Times New Roman" w:cs="Times New Roman"/>
          <w:b/>
          <w:bCs/>
          <w:sz w:val="24"/>
          <w:szCs w:val="24"/>
        </w:rPr>
        <w:t>dditional References</w:t>
      </w:r>
      <w:r w:rsidR="00F077C5" w:rsidRPr="79D07F72">
        <w:rPr>
          <w:rFonts w:ascii="Times New Roman" w:hAnsi="Times New Roman" w:cs="Times New Roman"/>
          <w:sz w:val="24"/>
          <w:szCs w:val="24"/>
        </w:rPr>
        <w:t>:</w:t>
      </w:r>
      <w:r w:rsidR="007F04DE">
        <w:tab/>
      </w:r>
    </w:p>
    <w:p w14:paraId="74006814" w14:textId="77777777" w:rsidR="007F04DE" w:rsidRPr="00F077C5" w:rsidRDefault="00895FC4" w:rsidP="00F077C5">
      <w:pPr>
        <w:pStyle w:val="ListParagraph"/>
        <w:numPr>
          <w:ilvl w:val="0"/>
          <w:numId w:val="2"/>
        </w:numPr>
        <w:rPr>
          <w:rFonts w:ascii="Times New Roman" w:hAnsi="Times New Roman" w:cs="Times New Roman"/>
          <w:sz w:val="24"/>
          <w:szCs w:val="24"/>
        </w:rPr>
      </w:pPr>
      <w:hyperlink r:id="rId7" w:history="1">
        <w:r w:rsidR="007F04DE" w:rsidRPr="7E7D659C">
          <w:rPr>
            <w:rStyle w:val="Hyperlink"/>
            <w:rFonts w:ascii="Times New Roman" w:hAnsi="Times New Roman" w:cs="Times New Roman"/>
            <w:sz w:val="24"/>
            <w:szCs w:val="24"/>
          </w:rPr>
          <w:t>North Carolina Attorney General Guide to Open Government and Public Records</w:t>
        </w:r>
      </w:hyperlink>
    </w:p>
    <w:p w14:paraId="2875B1D3" w14:textId="07C99A91" w:rsidR="007F04DE" w:rsidRDefault="00895FC4" w:rsidP="7E7D659C">
      <w:pPr>
        <w:pStyle w:val="ListParagraph"/>
        <w:numPr>
          <w:ilvl w:val="0"/>
          <w:numId w:val="2"/>
        </w:numPr>
        <w:rPr>
          <w:rFonts w:ascii="Times New Roman" w:hAnsi="Times New Roman" w:cs="Times New Roman"/>
          <w:sz w:val="24"/>
          <w:szCs w:val="24"/>
        </w:rPr>
      </w:pPr>
      <w:hyperlink r:id="rId8" w:history="1">
        <w:r w:rsidR="007F04DE" w:rsidRPr="79D07F72">
          <w:rPr>
            <w:rStyle w:val="Hyperlink"/>
            <w:rFonts w:ascii="Times New Roman" w:hAnsi="Times New Roman" w:cs="Times New Roman"/>
            <w:sz w:val="24"/>
            <w:szCs w:val="24"/>
          </w:rPr>
          <w:t>N.C. General Statutes § 126-22 through 126-23</w:t>
        </w:r>
        <w:r w:rsidR="18FE4D4F" w:rsidRPr="79D07F72">
          <w:rPr>
            <w:rFonts w:ascii="Times New Roman" w:hAnsi="Times New Roman" w:cs="Times New Roman"/>
            <w:sz w:val="24"/>
            <w:szCs w:val="24"/>
          </w:rPr>
          <w:t xml:space="preserve"> </w:t>
        </w:r>
        <w:r w:rsidR="7C61BDE4" w:rsidRPr="79D07F72">
          <w:rPr>
            <w:rFonts w:ascii="Times New Roman" w:hAnsi="Times New Roman" w:cs="Times New Roman"/>
            <w:sz w:val="24"/>
            <w:szCs w:val="24"/>
          </w:rPr>
          <w:t xml:space="preserve"> </w:t>
        </w:r>
      </w:hyperlink>
    </w:p>
    <w:p w14:paraId="4F9DD515" w14:textId="68C87722" w:rsidR="007F04DE" w:rsidRPr="00545EB8" w:rsidRDefault="00895FC4" w:rsidP="79D07F72">
      <w:pPr>
        <w:pStyle w:val="ListParagraph"/>
        <w:numPr>
          <w:ilvl w:val="0"/>
          <w:numId w:val="2"/>
        </w:numPr>
        <w:rPr>
          <w:rStyle w:val="Hyperlink"/>
          <w:rFonts w:ascii="Times New Roman" w:eastAsia="Segoe UI" w:hAnsi="Times New Roman" w:cs="Times New Roman"/>
          <w:color w:val="333333"/>
          <w:sz w:val="24"/>
          <w:szCs w:val="24"/>
          <w:u w:val="none"/>
        </w:rPr>
      </w:pPr>
      <w:hyperlink r:id="rId9" w:history="1">
        <w:r w:rsidR="007F04DE" w:rsidRPr="00CD7622">
          <w:rPr>
            <w:rStyle w:val="Hyperlink"/>
            <w:rFonts w:ascii="Times New Roman" w:hAnsi="Times New Roman" w:cs="Times New Roman"/>
            <w:sz w:val="24"/>
            <w:szCs w:val="24"/>
          </w:rPr>
          <w:t>N.C. General Statutes § 132-1, et. seq.</w:t>
        </w:r>
      </w:hyperlink>
    </w:p>
    <w:p w14:paraId="1E36E513" w14:textId="653411EF" w:rsidR="00786142" w:rsidRPr="00CD7622" w:rsidRDefault="00895FC4" w:rsidP="79D07F72">
      <w:pPr>
        <w:pStyle w:val="ListParagraph"/>
        <w:numPr>
          <w:ilvl w:val="0"/>
          <w:numId w:val="2"/>
        </w:numPr>
        <w:rPr>
          <w:rFonts w:ascii="Times New Roman" w:eastAsia="Segoe UI" w:hAnsi="Times New Roman" w:cs="Times New Roman"/>
          <w:color w:val="333333"/>
          <w:sz w:val="24"/>
          <w:szCs w:val="24"/>
        </w:rPr>
      </w:pPr>
      <w:hyperlink r:id="rId10" w:history="1">
        <w:r w:rsidR="00786142" w:rsidRPr="00CD7622">
          <w:rPr>
            <w:rFonts w:ascii="Times New Roman" w:hAnsi="Times New Roman" w:cs="Times New Roman"/>
            <w:color w:val="0000FF"/>
            <w:sz w:val="24"/>
            <w:szCs w:val="24"/>
            <w:u w:val="single"/>
          </w:rPr>
          <w:t>Chapter 143 - Article 33C (ncleg.net)</w:t>
        </w:r>
      </w:hyperlink>
    </w:p>
    <w:p w14:paraId="053B89E5" w14:textId="6EC50BC9" w:rsidR="6E72CE71" w:rsidRDefault="00895FC4" w:rsidP="79D07F72">
      <w:pPr>
        <w:pStyle w:val="ListParagraph"/>
        <w:numPr>
          <w:ilvl w:val="0"/>
          <w:numId w:val="2"/>
        </w:numPr>
        <w:rPr>
          <w:rFonts w:ascii="Times New Roman" w:eastAsia="Times New Roman" w:hAnsi="Times New Roman" w:cs="Times New Roman"/>
          <w:color w:val="333333"/>
          <w:sz w:val="24"/>
          <w:szCs w:val="24"/>
        </w:rPr>
      </w:pPr>
      <w:hyperlink r:id="rId11" w:history="1">
        <w:r w:rsidR="6E72CE71" w:rsidRPr="79D07F72">
          <w:rPr>
            <w:rStyle w:val="Hyperlink"/>
            <w:rFonts w:ascii="Times New Roman" w:eastAsia="Times New Roman" w:hAnsi="Times New Roman" w:cs="Times New Roman"/>
            <w:sz w:val="24"/>
            <w:szCs w:val="24"/>
          </w:rPr>
          <w:t>Health Information Privacy information (HIPAA)</w:t>
        </w:r>
      </w:hyperlink>
    </w:p>
    <w:p w14:paraId="569355DB" w14:textId="541C8E58" w:rsidR="00462957" w:rsidRPr="00462957" w:rsidRDefault="00462957" w:rsidP="00462957">
      <w:pPr>
        <w:rPr>
          <w:rFonts w:ascii="Times New Roman" w:hAnsi="Times New Roman" w:cs="Times New Roman"/>
          <w:b/>
          <w:bCs/>
          <w:sz w:val="24"/>
          <w:szCs w:val="24"/>
        </w:rPr>
      </w:pPr>
      <w:r w:rsidRPr="00462957">
        <w:rPr>
          <w:rFonts w:ascii="Times New Roman" w:hAnsi="Times New Roman" w:cs="Times New Roman"/>
          <w:b/>
          <w:bCs/>
          <w:sz w:val="24"/>
          <w:szCs w:val="24"/>
        </w:rPr>
        <w:t xml:space="preserve">Contact: </w:t>
      </w:r>
      <w:r w:rsidR="007265EE" w:rsidRPr="000269C4">
        <w:rPr>
          <w:rFonts w:ascii="Times New Roman" w:hAnsi="Times New Roman" w:cs="Times New Roman"/>
          <w:sz w:val="24"/>
          <w:szCs w:val="24"/>
        </w:rPr>
        <w:t>University Communications &amp; Marketing</w:t>
      </w:r>
      <w:r w:rsidRPr="00462957">
        <w:rPr>
          <w:rFonts w:ascii="Times New Roman" w:hAnsi="Times New Roman" w:cs="Times New Roman"/>
          <w:sz w:val="24"/>
          <w:szCs w:val="24"/>
        </w:rPr>
        <w:t xml:space="preserve">; (910) </w:t>
      </w:r>
      <w:r w:rsidR="007265EE" w:rsidRPr="007265EE">
        <w:rPr>
          <w:rFonts w:ascii="Times New Roman" w:hAnsi="Times New Roman" w:cs="Times New Roman"/>
          <w:sz w:val="24"/>
          <w:szCs w:val="24"/>
        </w:rPr>
        <w:t>52</w:t>
      </w:r>
      <w:r w:rsidR="007265EE">
        <w:rPr>
          <w:rFonts w:ascii="Times New Roman" w:hAnsi="Times New Roman" w:cs="Times New Roman"/>
          <w:sz w:val="24"/>
          <w:szCs w:val="24"/>
        </w:rPr>
        <w:t>1</w:t>
      </w:r>
      <w:r w:rsidRPr="00462957">
        <w:rPr>
          <w:rFonts w:ascii="Times New Roman" w:hAnsi="Times New Roman" w:cs="Times New Roman"/>
          <w:sz w:val="24"/>
          <w:szCs w:val="24"/>
        </w:rPr>
        <w:t>-</w:t>
      </w:r>
      <w:r w:rsidR="007265EE" w:rsidRPr="007265EE">
        <w:rPr>
          <w:rFonts w:ascii="Times New Roman" w:hAnsi="Times New Roman" w:cs="Times New Roman"/>
          <w:sz w:val="24"/>
          <w:szCs w:val="24"/>
        </w:rPr>
        <w:t>6533</w:t>
      </w:r>
    </w:p>
    <w:p w14:paraId="422AEACD" w14:textId="77777777" w:rsidR="007F04DE" w:rsidRPr="007F04DE" w:rsidRDefault="007F04DE" w:rsidP="007F04DE">
      <w:pPr>
        <w:rPr>
          <w:rFonts w:ascii="Times New Roman" w:hAnsi="Times New Roman" w:cs="Times New Roman"/>
          <w:sz w:val="24"/>
          <w:szCs w:val="24"/>
        </w:rPr>
      </w:pPr>
    </w:p>
    <w:p w14:paraId="00D5F626" w14:textId="4B4ECDA7" w:rsidR="007F04DE" w:rsidRPr="00462957" w:rsidRDefault="00462957" w:rsidP="007F04DE">
      <w:pPr>
        <w:rPr>
          <w:rFonts w:ascii="Times New Roman" w:hAnsi="Times New Roman" w:cs="Times New Roman"/>
          <w:b/>
          <w:bCs/>
          <w:sz w:val="24"/>
          <w:szCs w:val="24"/>
        </w:rPr>
      </w:pPr>
      <w:r w:rsidRPr="00462957">
        <w:rPr>
          <w:rFonts w:ascii="Times New Roman" w:hAnsi="Times New Roman" w:cs="Times New Roman"/>
          <w:b/>
          <w:bCs/>
          <w:sz w:val="24"/>
          <w:szCs w:val="24"/>
        </w:rPr>
        <w:t>1. INTRODUCTION</w:t>
      </w:r>
    </w:p>
    <w:p w14:paraId="3DAAFB1F" w14:textId="7D7F838F" w:rsidR="007F04DE" w:rsidRPr="007F04DE" w:rsidRDefault="007F04DE" w:rsidP="79D07F72">
      <w:pPr>
        <w:rPr>
          <w:rFonts w:ascii="Times New Roman" w:hAnsi="Times New Roman" w:cs="Times New Roman"/>
          <w:sz w:val="24"/>
          <w:szCs w:val="24"/>
        </w:rPr>
      </w:pPr>
      <w:r w:rsidRPr="7E7D659C">
        <w:rPr>
          <w:rFonts w:ascii="Times New Roman" w:hAnsi="Times New Roman" w:cs="Times New Roman"/>
          <w:sz w:val="24"/>
          <w:szCs w:val="24"/>
        </w:rPr>
        <w:t>1.1.</w:t>
      </w:r>
      <w:r w:rsidR="48E9BEEE" w:rsidRPr="7E7D659C">
        <w:rPr>
          <w:rFonts w:ascii="Times New Roman" w:hAnsi="Times New Roman" w:cs="Times New Roman"/>
          <w:sz w:val="24"/>
          <w:szCs w:val="24"/>
        </w:rPr>
        <w:t xml:space="preserve"> The </w:t>
      </w:r>
      <w:r w:rsidR="5E09C8E4" w:rsidRPr="7E7D659C">
        <w:rPr>
          <w:rFonts w:ascii="Times New Roman" w:hAnsi="Times New Roman" w:cs="Times New Roman"/>
          <w:sz w:val="24"/>
          <w:szCs w:val="24"/>
        </w:rPr>
        <w:t>University</w:t>
      </w:r>
      <w:r w:rsidR="5E09C8E4" w:rsidRPr="79D07F72">
        <w:rPr>
          <w:rFonts w:ascii="Times New Roman" w:hAnsi="Times New Roman" w:cs="Times New Roman"/>
          <w:sz w:val="24"/>
          <w:szCs w:val="24"/>
        </w:rPr>
        <w:t xml:space="preserve"> of</w:t>
      </w:r>
      <w:r w:rsidR="0F6DFB6B" w:rsidRPr="7E7D659C">
        <w:rPr>
          <w:rFonts w:ascii="Times New Roman" w:hAnsi="Times New Roman" w:cs="Times New Roman"/>
          <w:sz w:val="24"/>
          <w:szCs w:val="24"/>
        </w:rPr>
        <w:t xml:space="preserve"> North Carolina at </w:t>
      </w:r>
      <w:r w:rsidR="71673377" w:rsidRPr="79D07F72">
        <w:rPr>
          <w:rFonts w:ascii="Times New Roman" w:hAnsi="Times New Roman" w:cs="Times New Roman"/>
          <w:sz w:val="24"/>
          <w:szCs w:val="24"/>
        </w:rPr>
        <w:t>Pembroke,</w:t>
      </w:r>
      <w:r w:rsidR="71673377" w:rsidRPr="7E7D659C">
        <w:rPr>
          <w:rFonts w:ascii="Times New Roman" w:hAnsi="Times New Roman" w:cs="Times New Roman"/>
          <w:sz w:val="24"/>
          <w:szCs w:val="24"/>
        </w:rPr>
        <w:t xml:space="preserve"> </w:t>
      </w:r>
      <w:r w:rsidRPr="7E7D659C">
        <w:rPr>
          <w:rFonts w:ascii="Times New Roman" w:hAnsi="Times New Roman" w:cs="Times New Roman"/>
          <w:sz w:val="24"/>
          <w:szCs w:val="24"/>
        </w:rPr>
        <w:t xml:space="preserve">a constituent institution of the University of North Carolina </w:t>
      </w:r>
      <w:r w:rsidR="3FE6A182" w:rsidRPr="7E7D659C">
        <w:rPr>
          <w:rFonts w:ascii="Times New Roman" w:hAnsi="Times New Roman" w:cs="Times New Roman"/>
          <w:sz w:val="24"/>
          <w:szCs w:val="24"/>
        </w:rPr>
        <w:t>System</w:t>
      </w:r>
      <w:r w:rsidR="19F499BD" w:rsidRPr="7E7D659C">
        <w:rPr>
          <w:rFonts w:ascii="Times New Roman" w:hAnsi="Times New Roman" w:cs="Times New Roman"/>
          <w:sz w:val="24"/>
          <w:szCs w:val="24"/>
        </w:rPr>
        <w:t xml:space="preserve">, </w:t>
      </w:r>
      <w:r w:rsidRPr="7E7D659C">
        <w:rPr>
          <w:rFonts w:ascii="Times New Roman" w:hAnsi="Times New Roman" w:cs="Times New Roman"/>
          <w:sz w:val="24"/>
          <w:szCs w:val="24"/>
        </w:rPr>
        <w:t xml:space="preserve">and an agency of the State of North Carolina, is open and responsive to public records requests. This </w:t>
      </w:r>
      <w:r w:rsidR="21995A53" w:rsidRPr="7E7D659C">
        <w:rPr>
          <w:rFonts w:ascii="Times New Roman" w:hAnsi="Times New Roman" w:cs="Times New Roman"/>
          <w:sz w:val="24"/>
          <w:szCs w:val="24"/>
        </w:rPr>
        <w:t xml:space="preserve">policy </w:t>
      </w:r>
      <w:r w:rsidRPr="7E7D659C">
        <w:rPr>
          <w:rFonts w:ascii="Times New Roman" w:hAnsi="Times New Roman" w:cs="Times New Roman"/>
          <w:sz w:val="24"/>
          <w:szCs w:val="24"/>
        </w:rPr>
        <w:t xml:space="preserve">shall be implemented in accordance with the NC Public Records Act, N.C. Gen. </w:t>
      </w:r>
      <w:hyperlink r:id="rId12" w:history="1">
        <w:r w:rsidRPr="7E7D659C">
          <w:rPr>
            <w:rStyle w:val="Hyperlink"/>
            <w:rFonts w:ascii="Times New Roman" w:hAnsi="Times New Roman" w:cs="Times New Roman"/>
            <w:sz w:val="24"/>
            <w:szCs w:val="24"/>
          </w:rPr>
          <w:t>Stats. 132-1</w:t>
        </w:r>
      </w:hyperlink>
      <w:r w:rsidRPr="7E7D659C">
        <w:rPr>
          <w:rFonts w:ascii="Times New Roman" w:hAnsi="Times New Roman" w:cs="Times New Roman"/>
          <w:sz w:val="24"/>
          <w:szCs w:val="24"/>
        </w:rPr>
        <w:t>, et seq., and other applicable federal and state laws.</w:t>
      </w:r>
    </w:p>
    <w:p w14:paraId="2DA6BA6F" w14:textId="336E44C0" w:rsidR="79D07F72" w:rsidRDefault="79D07F72" w:rsidP="79D07F72">
      <w:pPr>
        <w:rPr>
          <w:rFonts w:ascii="Times New Roman" w:hAnsi="Times New Roman" w:cs="Times New Roman"/>
          <w:sz w:val="24"/>
          <w:szCs w:val="24"/>
        </w:rPr>
      </w:pPr>
    </w:p>
    <w:p w14:paraId="515C1ACA" w14:textId="1F142EA6" w:rsidR="007F04DE" w:rsidRPr="00B63F98" w:rsidRDefault="00B63F98" w:rsidP="007F04DE">
      <w:pPr>
        <w:rPr>
          <w:rFonts w:ascii="Times New Roman" w:hAnsi="Times New Roman" w:cs="Times New Roman"/>
          <w:b/>
          <w:bCs/>
          <w:sz w:val="24"/>
          <w:szCs w:val="24"/>
        </w:rPr>
      </w:pPr>
      <w:r w:rsidRPr="00B63F98">
        <w:rPr>
          <w:rFonts w:ascii="Times New Roman" w:hAnsi="Times New Roman" w:cs="Times New Roman"/>
          <w:b/>
          <w:bCs/>
          <w:sz w:val="24"/>
          <w:szCs w:val="24"/>
        </w:rPr>
        <w:t>2. PUBLIC RECORDS DEFINED</w:t>
      </w:r>
    </w:p>
    <w:p w14:paraId="557C9EDC"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2.1. All documents, papers, letters, maps, books, photographs, films, sound recordings, magnetic or other tapes, electronic data-processing records, artifacts, or other documentary material, regardless of physical form or characteristics, made or received pursuant to law or ordinance in connection with the transaction of public business, unless an exception applies.</w:t>
      </w:r>
    </w:p>
    <w:p w14:paraId="7A331A02" w14:textId="77777777" w:rsidR="00CD7622" w:rsidRPr="007F04DE" w:rsidRDefault="00CD7622" w:rsidP="00CD7622">
      <w:pPr>
        <w:rPr>
          <w:rFonts w:ascii="Times New Roman" w:hAnsi="Times New Roman" w:cs="Times New Roman"/>
          <w:sz w:val="24"/>
          <w:szCs w:val="24"/>
        </w:rPr>
      </w:pPr>
      <w:r>
        <w:rPr>
          <w:rFonts w:ascii="Times New Roman" w:hAnsi="Times New Roman" w:cs="Times New Roman"/>
          <w:sz w:val="24"/>
          <w:szCs w:val="24"/>
        </w:rPr>
        <w:t xml:space="preserve">2.2.  </w:t>
      </w:r>
      <w:r w:rsidRPr="00867E33">
        <w:rPr>
          <w:rFonts w:ascii="Times New Roman" w:hAnsi="Times New Roman" w:cs="Times New Roman"/>
          <w:sz w:val="24"/>
          <w:szCs w:val="24"/>
        </w:rPr>
        <w:t>The</w:t>
      </w:r>
      <w:r>
        <w:rPr>
          <w:rFonts w:ascii="Times New Roman" w:hAnsi="Times New Roman" w:cs="Times New Roman"/>
          <w:sz w:val="24"/>
          <w:szCs w:val="24"/>
        </w:rPr>
        <w:t xml:space="preserve"> Custodian of Records is the </w:t>
      </w:r>
      <w:r w:rsidRPr="00867E33">
        <w:rPr>
          <w:rFonts w:ascii="Times New Roman" w:hAnsi="Times New Roman" w:cs="Times New Roman"/>
          <w:sz w:val="24"/>
          <w:szCs w:val="24"/>
        </w:rPr>
        <w:t>public official in charge of an office having public records</w:t>
      </w:r>
      <w:r>
        <w:rPr>
          <w:rFonts w:ascii="Times New Roman" w:hAnsi="Times New Roman" w:cs="Times New Roman"/>
          <w:sz w:val="24"/>
          <w:szCs w:val="24"/>
        </w:rPr>
        <w:t>.</w:t>
      </w:r>
    </w:p>
    <w:p w14:paraId="62D992A1" w14:textId="77777777" w:rsidR="000269C4" w:rsidRDefault="000269C4" w:rsidP="007F04DE">
      <w:pPr>
        <w:rPr>
          <w:rFonts w:ascii="Times New Roman" w:hAnsi="Times New Roman" w:cs="Times New Roman"/>
          <w:b/>
          <w:bCs/>
          <w:sz w:val="24"/>
          <w:szCs w:val="24"/>
        </w:rPr>
      </w:pPr>
    </w:p>
    <w:p w14:paraId="486FEFBA" w14:textId="668DA400" w:rsidR="007F04DE" w:rsidRPr="00B63F98" w:rsidRDefault="00B63F98" w:rsidP="007F04DE">
      <w:pPr>
        <w:rPr>
          <w:rFonts w:ascii="Times New Roman" w:hAnsi="Times New Roman" w:cs="Times New Roman"/>
          <w:b/>
          <w:bCs/>
          <w:sz w:val="24"/>
          <w:szCs w:val="24"/>
        </w:rPr>
      </w:pPr>
      <w:r w:rsidRPr="00B63F98">
        <w:rPr>
          <w:rFonts w:ascii="Times New Roman" w:hAnsi="Times New Roman" w:cs="Times New Roman"/>
          <w:b/>
          <w:bCs/>
          <w:sz w:val="24"/>
          <w:szCs w:val="24"/>
        </w:rPr>
        <w:t>3. PROCESS FOR ACCESSING PUBLIC RECORDS</w:t>
      </w:r>
    </w:p>
    <w:p w14:paraId="0CF4D3C4" w14:textId="03B7889B" w:rsidR="00FE0123"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3.1. Access to records. Individuals who seek to access public records of the university should direct a written request to the </w:t>
      </w:r>
      <w:r w:rsidR="00600B82" w:rsidRPr="00600B82">
        <w:rPr>
          <w:rFonts w:ascii="Times New Roman" w:hAnsi="Times New Roman" w:cs="Times New Roman"/>
          <w:sz w:val="24"/>
          <w:szCs w:val="24"/>
        </w:rPr>
        <w:t>University Communications &amp; Marketing</w:t>
      </w:r>
      <w:r w:rsidR="00600B82">
        <w:rPr>
          <w:rFonts w:ascii="Times New Roman" w:hAnsi="Times New Roman" w:cs="Times New Roman"/>
          <w:sz w:val="24"/>
          <w:szCs w:val="24"/>
        </w:rPr>
        <w:t xml:space="preserve"> </w:t>
      </w:r>
      <w:r w:rsidR="6B4CB14B" w:rsidRPr="79D07F72">
        <w:rPr>
          <w:rFonts w:ascii="Times New Roman" w:hAnsi="Times New Roman" w:cs="Times New Roman"/>
          <w:sz w:val="24"/>
          <w:szCs w:val="24"/>
        </w:rPr>
        <w:t>office</w:t>
      </w:r>
      <w:r w:rsidR="0C0FDF3F" w:rsidRPr="79D07F72">
        <w:rPr>
          <w:rFonts w:ascii="Times New Roman" w:hAnsi="Times New Roman" w:cs="Times New Roman"/>
          <w:sz w:val="24"/>
          <w:szCs w:val="24"/>
        </w:rPr>
        <w:t xml:space="preserve">. </w:t>
      </w:r>
    </w:p>
    <w:p w14:paraId="1A5922ED" w14:textId="43DE5D80"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lastRenderedPageBreak/>
        <w:t>3.2. Responding to Requests for Records. The NC Public Records Act contains several exceptions, and various state and federal laws provide for the confidentiality of certain records.</w:t>
      </w:r>
      <w:r w:rsidR="3229D7E0" w:rsidRPr="79D07F72">
        <w:rPr>
          <w:rFonts w:ascii="Times New Roman" w:hAnsi="Times New Roman" w:cs="Times New Roman"/>
          <w:sz w:val="24"/>
          <w:szCs w:val="24"/>
        </w:rPr>
        <w:t xml:space="preserve"> </w:t>
      </w:r>
      <w:r w:rsidRPr="79D07F72">
        <w:rPr>
          <w:rFonts w:ascii="Times New Roman" w:hAnsi="Times New Roman" w:cs="Times New Roman"/>
          <w:sz w:val="24"/>
          <w:szCs w:val="24"/>
        </w:rPr>
        <w:t xml:space="preserve"> Prior to responding to a request for public records, </w:t>
      </w:r>
      <w:r w:rsidR="14328016" w:rsidRPr="79D07F72">
        <w:rPr>
          <w:rFonts w:ascii="Times New Roman" w:hAnsi="Times New Roman" w:cs="Times New Roman"/>
          <w:sz w:val="24"/>
          <w:szCs w:val="24"/>
        </w:rPr>
        <w:t>the custodian of records</w:t>
      </w:r>
      <w:r w:rsidR="42DE09DA" w:rsidRPr="79D07F72">
        <w:rPr>
          <w:rFonts w:ascii="Times New Roman" w:hAnsi="Times New Roman" w:cs="Times New Roman"/>
          <w:sz w:val="24"/>
          <w:szCs w:val="24"/>
        </w:rPr>
        <w:t xml:space="preserve"> should </w:t>
      </w:r>
      <w:r w:rsidR="16E8B5B3" w:rsidRPr="79D07F72">
        <w:rPr>
          <w:rFonts w:ascii="Times New Roman" w:hAnsi="Times New Roman" w:cs="Times New Roman"/>
          <w:sz w:val="24"/>
          <w:szCs w:val="24"/>
        </w:rPr>
        <w:t>inform</w:t>
      </w:r>
      <w:r w:rsidRPr="79D07F72">
        <w:rPr>
          <w:rFonts w:ascii="Times New Roman" w:hAnsi="Times New Roman" w:cs="Times New Roman"/>
          <w:sz w:val="24"/>
          <w:szCs w:val="24"/>
        </w:rPr>
        <w:t xml:space="preserve"> </w:t>
      </w:r>
      <w:r w:rsidR="40556B62" w:rsidRPr="79D07F72">
        <w:rPr>
          <w:rFonts w:ascii="Times New Roman" w:hAnsi="Times New Roman" w:cs="Times New Roman"/>
          <w:sz w:val="24"/>
          <w:szCs w:val="24"/>
        </w:rPr>
        <w:t xml:space="preserve">the </w:t>
      </w:r>
      <w:r w:rsidR="00600B82" w:rsidRPr="79D07F72">
        <w:rPr>
          <w:rFonts w:ascii="Times New Roman" w:hAnsi="Times New Roman" w:cs="Times New Roman"/>
          <w:sz w:val="24"/>
          <w:szCs w:val="24"/>
        </w:rPr>
        <w:t>General Counsel</w:t>
      </w:r>
      <w:r w:rsidRPr="79D07F72">
        <w:rPr>
          <w:rFonts w:ascii="Times New Roman" w:hAnsi="Times New Roman" w:cs="Times New Roman"/>
          <w:sz w:val="24"/>
          <w:szCs w:val="24"/>
        </w:rPr>
        <w:t xml:space="preserve"> </w:t>
      </w:r>
      <w:r w:rsidR="00600B82" w:rsidRPr="00600B82">
        <w:rPr>
          <w:rFonts w:ascii="Times New Roman" w:hAnsi="Times New Roman" w:cs="Times New Roman"/>
          <w:sz w:val="24"/>
          <w:szCs w:val="24"/>
        </w:rPr>
        <w:t xml:space="preserve">office </w:t>
      </w:r>
      <w:r w:rsidR="00600B82">
        <w:rPr>
          <w:rFonts w:ascii="Times New Roman" w:hAnsi="Times New Roman" w:cs="Times New Roman"/>
          <w:sz w:val="24"/>
          <w:szCs w:val="24"/>
        </w:rPr>
        <w:t xml:space="preserve">(OGC) </w:t>
      </w:r>
      <w:r w:rsidR="4C58EC45" w:rsidRPr="79D07F72">
        <w:rPr>
          <w:rFonts w:ascii="Times New Roman" w:hAnsi="Times New Roman" w:cs="Times New Roman"/>
          <w:sz w:val="24"/>
          <w:szCs w:val="24"/>
        </w:rPr>
        <w:t>of</w:t>
      </w:r>
      <w:r w:rsidR="47E49F0F" w:rsidRPr="79D07F72">
        <w:rPr>
          <w:rFonts w:ascii="Times New Roman" w:hAnsi="Times New Roman" w:cs="Times New Roman"/>
          <w:sz w:val="24"/>
          <w:szCs w:val="24"/>
        </w:rPr>
        <w:t xml:space="preserve"> the requested materials. </w:t>
      </w:r>
      <w:r w:rsidR="10821F4F" w:rsidRPr="79D07F72">
        <w:rPr>
          <w:rFonts w:ascii="Times New Roman" w:hAnsi="Times New Roman" w:cs="Times New Roman"/>
          <w:sz w:val="24"/>
          <w:szCs w:val="24"/>
        </w:rPr>
        <w:t xml:space="preserve">The </w:t>
      </w:r>
      <w:r w:rsidR="00600B82">
        <w:rPr>
          <w:rFonts w:ascii="Times New Roman" w:hAnsi="Times New Roman" w:cs="Times New Roman"/>
          <w:sz w:val="24"/>
          <w:szCs w:val="24"/>
        </w:rPr>
        <w:t>OGC</w:t>
      </w:r>
      <w:r w:rsidR="1E567250" w:rsidRPr="79D07F72">
        <w:rPr>
          <w:rFonts w:ascii="Times New Roman" w:hAnsi="Times New Roman" w:cs="Times New Roman"/>
          <w:sz w:val="24"/>
          <w:szCs w:val="24"/>
        </w:rPr>
        <w:t xml:space="preserve"> </w:t>
      </w:r>
      <w:r w:rsidR="312FACB6" w:rsidRPr="79D07F72">
        <w:rPr>
          <w:rFonts w:ascii="Times New Roman" w:hAnsi="Times New Roman" w:cs="Times New Roman"/>
          <w:sz w:val="24"/>
          <w:szCs w:val="24"/>
        </w:rPr>
        <w:t xml:space="preserve">will advise </w:t>
      </w:r>
      <w:r w:rsidR="0F399054" w:rsidRPr="79D07F72">
        <w:rPr>
          <w:rFonts w:ascii="Times New Roman" w:hAnsi="Times New Roman" w:cs="Times New Roman"/>
          <w:sz w:val="24"/>
          <w:szCs w:val="24"/>
        </w:rPr>
        <w:t xml:space="preserve">the </w:t>
      </w:r>
      <w:r w:rsidR="312FACB6" w:rsidRPr="79D07F72">
        <w:rPr>
          <w:rFonts w:ascii="Times New Roman" w:hAnsi="Times New Roman" w:cs="Times New Roman"/>
          <w:sz w:val="24"/>
          <w:szCs w:val="24"/>
        </w:rPr>
        <w:t>custodian of records o</w:t>
      </w:r>
      <w:r w:rsidR="45F3B1D7" w:rsidRPr="79D07F72">
        <w:rPr>
          <w:rFonts w:ascii="Times New Roman" w:hAnsi="Times New Roman" w:cs="Times New Roman"/>
          <w:sz w:val="24"/>
          <w:szCs w:val="24"/>
        </w:rPr>
        <w:t>n the production</w:t>
      </w:r>
      <w:r w:rsidR="5C86D601" w:rsidRPr="79D07F72">
        <w:rPr>
          <w:rFonts w:ascii="Times New Roman" w:hAnsi="Times New Roman" w:cs="Times New Roman"/>
          <w:sz w:val="24"/>
          <w:szCs w:val="24"/>
        </w:rPr>
        <w:t xml:space="preserve">, </w:t>
      </w:r>
      <w:r w:rsidR="24A155E0" w:rsidRPr="79D07F72">
        <w:rPr>
          <w:rFonts w:ascii="Times New Roman" w:hAnsi="Times New Roman" w:cs="Times New Roman"/>
          <w:sz w:val="24"/>
          <w:szCs w:val="24"/>
        </w:rPr>
        <w:t xml:space="preserve">and release </w:t>
      </w:r>
      <w:r w:rsidR="45F3B1D7" w:rsidRPr="79D07F72">
        <w:rPr>
          <w:rFonts w:ascii="Times New Roman" w:hAnsi="Times New Roman" w:cs="Times New Roman"/>
          <w:sz w:val="24"/>
          <w:szCs w:val="24"/>
        </w:rPr>
        <w:t xml:space="preserve">of requested materials. </w:t>
      </w:r>
    </w:p>
    <w:p w14:paraId="284F57EE" w14:textId="77B3EB4B" w:rsidR="66072AA9" w:rsidRDefault="66072AA9" w:rsidP="7E7D659C">
      <w:pPr>
        <w:rPr>
          <w:rFonts w:ascii="Times New Roman" w:hAnsi="Times New Roman" w:cs="Times New Roman"/>
          <w:sz w:val="24"/>
          <w:szCs w:val="24"/>
        </w:rPr>
      </w:pPr>
      <w:r w:rsidRPr="7E7D659C">
        <w:rPr>
          <w:rFonts w:ascii="Times New Roman" w:hAnsi="Times New Roman" w:cs="Times New Roman"/>
          <w:sz w:val="24"/>
          <w:szCs w:val="24"/>
        </w:rPr>
        <w:t>3.2.1 Before releasing contracts</w:t>
      </w:r>
      <w:r w:rsidR="7D17B7B7" w:rsidRPr="7E7D659C">
        <w:rPr>
          <w:rFonts w:ascii="Times New Roman" w:hAnsi="Times New Roman" w:cs="Times New Roman"/>
          <w:sz w:val="24"/>
          <w:szCs w:val="24"/>
        </w:rPr>
        <w:t xml:space="preserve"> and/or student records, OGC may attempt to notify affected parties. </w:t>
      </w:r>
    </w:p>
    <w:p w14:paraId="01C6907B"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 Exceptions and Confidentiality Laws. Exceptions that make records confidential are established by federal and state privacy and privilege laws. The most common exceptions, include, but are not limited to, the following:</w:t>
      </w:r>
    </w:p>
    <w:p w14:paraId="01ED3D57"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3.3.1. Medical and Counseling Records. State privilege laws and the Health Insurance Portability &amp; Accountability Act of 1996 (HIPAA) require that medical and counseling records be kept confidential, subject to very few exceptions.</w:t>
      </w:r>
    </w:p>
    <w:p w14:paraId="7135CBC4"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 Personnel Records. An employee's personnel records are confidential in accordance with the NC Personnel Records Act, except that the following information is public about every employee:</w:t>
      </w:r>
    </w:p>
    <w:p w14:paraId="5279944E"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3.3.2.1. Name;</w:t>
      </w:r>
    </w:p>
    <w:p w14:paraId="0A60616D"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3.3.2.2. Age;</w:t>
      </w:r>
    </w:p>
    <w:p w14:paraId="6DDC93DC"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3.3.2.3. Date of original employment or appointment to State service;</w:t>
      </w:r>
    </w:p>
    <w:p w14:paraId="134E5757"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3.3.2.4. Record of any terms of any contract by which the employee is employed;</w:t>
      </w:r>
    </w:p>
    <w:p w14:paraId="2F4E771E"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3.3.2.5. Current position;</w:t>
      </w:r>
    </w:p>
    <w:p w14:paraId="5E69F1ED"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3.3.2.6. Title;</w:t>
      </w:r>
    </w:p>
    <w:p w14:paraId="535DABD2"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3.3.2.7. Current salary;</w:t>
      </w:r>
    </w:p>
    <w:p w14:paraId="405282F4" w14:textId="070019EA"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3.3.2.8. Date and amount of each increase or decrease in salary with </w:t>
      </w:r>
      <w:r w:rsidR="1F64E3B3" w:rsidRPr="79D07F72">
        <w:rPr>
          <w:rFonts w:ascii="Times New Roman" w:hAnsi="Times New Roman" w:cs="Times New Roman"/>
          <w:sz w:val="24"/>
          <w:szCs w:val="24"/>
        </w:rPr>
        <w:t>UNCP</w:t>
      </w:r>
      <w:r w:rsidRPr="79D07F72">
        <w:rPr>
          <w:rFonts w:ascii="Times New Roman" w:hAnsi="Times New Roman" w:cs="Times New Roman"/>
          <w:sz w:val="24"/>
          <w:szCs w:val="24"/>
        </w:rPr>
        <w:t>;</w:t>
      </w:r>
    </w:p>
    <w:p w14:paraId="38466EBD" w14:textId="1A0CD732"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3.3.2.9. Date and type of each promotion, demotion, transfer, suspension, separation or other change in position classification with </w:t>
      </w:r>
      <w:r w:rsidR="0A41C665" w:rsidRPr="79D07F72">
        <w:rPr>
          <w:rFonts w:ascii="Times New Roman" w:hAnsi="Times New Roman" w:cs="Times New Roman"/>
          <w:sz w:val="24"/>
          <w:szCs w:val="24"/>
        </w:rPr>
        <w:t>UNCP</w:t>
      </w:r>
      <w:r w:rsidRPr="79D07F72">
        <w:rPr>
          <w:rFonts w:ascii="Times New Roman" w:hAnsi="Times New Roman" w:cs="Times New Roman"/>
          <w:sz w:val="24"/>
          <w:szCs w:val="24"/>
        </w:rPr>
        <w:t>;</w:t>
      </w:r>
    </w:p>
    <w:p w14:paraId="558FA0A3" w14:textId="2C7A3277"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3.3.2.10. Date and general description of the reasons for each promotion with </w:t>
      </w:r>
      <w:r w:rsidR="615A3D44" w:rsidRPr="79D07F72">
        <w:rPr>
          <w:rFonts w:ascii="Times New Roman" w:hAnsi="Times New Roman" w:cs="Times New Roman"/>
          <w:sz w:val="24"/>
          <w:szCs w:val="24"/>
        </w:rPr>
        <w:t>UNCP</w:t>
      </w:r>
      <w:r w:rsidRPr="79D07F72">
        <w:rPr>
          <w:rFonts w:ascii="Times New Roman" w:hAnsi="Times New Roman" w:cs="Times New Roman"/>
          <w:sz w:val="24"/>
          <w:szCs w:val="24"/>
        </w:rPr>
        <w:t>;</w:t>
      </w:r>
    </w:p>
    <w:p w14:paraId="1919496E" w14:textId="002010C8"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3.3.2.11. Date and type of each dismissal, suspension, or demotion for disciplinary reasons taken by </w:t>
      </w:r>
      <w:r w:rsidR="5F45E962" w:rsidRPr="79D07F72">
        <w:rPr>
          <w:rFonts w:ascii="Times New Roman" w:hAnsi="Times New Roman" w:cs="Times New Roman"/>
          <w:sz w:val="24"/>
          <w:szCs w:val="24"/>
        </w:rPr>
        <w:t>UNCP</w:t>
      </w:r>
      <w:r w:rsidRPr="79D07F72">
        <w:rPr>
          <w:rFonts w:ascii="Times New Roman" w:hAnsi="Times New Roman" w:cs="Times New Roman"/>
          <w:sz w:val="24"/>
          <w:szCs w:val="24"/>
        </w:rPr>
        <w:t>, including a copy of the written notice of the final decision of the Chancellor (or designee) setting forth the specific acts or omissions that are the basis of a dismissal; and</w:t>
      </w:r>
    </w:p>
    <w:p w14:paraId="20853476"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3.3.2.12. Office or station to which the employee is currently assigned.</w:t>
      </w:r>
    </w:p>
    <w:p w14:paraId="23A96FA5" w14:textId="4029129D"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3.3.3. Student Education Records. The Family Educational Rights and Privacy Act (FERPA) restricts the information that may be released about students. The University’s FERPA Policy lists what information about a student may </w:t>
      </w:r>
      <w:r w:rsidR="7A7CCF1A" w:rsidRPr="79D07F72">
        <w:rPr>
          <w:rFonts w:ascii="Times New Roman" w:hAnsi="Times New Roman" w:cs="Times New Roman"/>
          <w:sz w:val="24"/>
          <w:szCs w:val="24"/>
        </w:rPr>
        <w:t>be</w:t>
      </w:r>
      <w:r w:rsidRPr="79D07F72">
        <w:rPr>
          <w:rFonts w:ascii="Times New Roman" w:hAnsi="Times New Roman" w:cs="Times New Roman"/>
          <w:sz w:val="24"/>
          <w:szCs w:val="24"/>
        </w:rPr>
        <w:t xml:space="preserve"> released, also known as “directory information.” </w:t>
      </w:r>
      <w:r w:rsidRPr="79D07F72">
        <w:rPr>
          <w:rFonts w:ascii="Times New Roman" w:hAnsi="Times New Roman" w:cs="Times New Roman"/>
          <w:sz w:val="24"/>
          <w:szCs w:val="24"/>
        </w:rPr>
        <w:lastRenderedPageBreak/>
        <w:t>Before releasing even directory information about any student, however, the custodian receiving the request must check with the Registrar’s Office to determine whether the student has placed a privacy block on the information.</w:t>
      </w:r>
    </w:p>
    <w:p w14:paraId="6DCD5B51"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 Additional Types of Confidential Information</w:t>
      </w:r>
    </w:p>
    <w:p w14:paraId="63C7B48C"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3.3.4.1. Personally identifiable admissions information;</w:t>
      </w:r>
    </w:p>
    <w:p w14:paraId="11B66464"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3.3.4.2. Patent applications and other documents that contain trade secrets;</w:t>
      </w:r>
    </w:p>
    <w:p w14:paraId="3B11D4F5"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3.3.4.3. Certain criminal investigation and law enforcement records;</w:t>
      </w:r>
    </w:p>
    <w:p w14:paraId="0EFDA98A"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3.3.4.4. Public security plans;</w:t>
      </w:r>
    </w:p>
    <w:p w14:paraId="0DA19473" w14:textId="7E136ACA"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3.3.4.5. Detailed drawings of </w:t>
      </w:r>
      <w:r w:rsidR="48307C5A" w:rsidRPr="79D07F72">
        <w:rPr>
          <w:rFonts w:ascii="Times New Roman" w:hAnsi="Times New Roman" w:cs="Times New Roman"/>
          <w:sz w:val="24"/>
          <w:szCs w:val="24"/>
        </w:rPr>
        <w:t>university</w:t>
      </w:r>
      <w:r w:rsidRPr="79D07F72">
        <w:rPr>
          <w:rFonts w:ascii="Times New Roman" w:hAnsi="Times New Roman" w:cs="Times New Roman"/>
          <w:sz w:val="24"/>
          <w:szCs w:val="24"/>
        </w:rPr>
        <w:t xml:space="preserve"> buildings and infrastructure;</w:t>
      </w:r>
    </w:p>
    <w:p w14:paraId="512CCF4D"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3.3.4.6. Certain contract or bid records prior to a final contract;</w:t>
      </w:r>
    </w:p>
    <w:p w14:paraId="54CF6ED1" w14:textId="77777777"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3.3.4.7. Minutes of closed meetings under the NC Open Meetings Act</w:t>
      </w:r>
    </w:p>
    <w:p w14:paraId="598DC121" w14:textId="52D164CE"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3.4. Inspection</w:t>
      </w:r>
      <w:r w:rsidR="00342C51">
        <w:rPr>
          <w:rFonts w:ascii="Times New Roman" w:hAnsi="Times New Roman" w:cs="Times New Roman"/>
          <w:sz w:val="24"/>
          <w:szCs w:val="24"/>
        </w:rPr>
        <w:t xml:space="preserve"> and/or Copies</w:t>
      </w:r>
      <w:r w:rsidRPr="007F04DE">
        <w:rPr>
          <w:rFonts w:ascii="Times New Roman" w:hAnsi="Times New Roman" w:cs="Times New Roman"/>
          <w:sz w:val="24"/>
          <w:szCs w:val="24"/>
        </w:rPr>
        <w:t>.</w:t>
      </w:r>
      <w:r w:rsidR="00342C51">
        <w:rPr>
          <w:rFonts w:ascii="Times New Roman" w:hAnsi="Times New Roman" w:cs="Times New Roman"/>
          <w:sz w:val="24"/>
          <w:szCs w:val="24"/>
        </w:rPr>
        <w:t xml:space="preserve"> T</w:t>
      </w:r>
      <w:r w:rsidRPr="007F04DE">
        <w:rPr>
          <w:rFonts w:ascii="Times New Roman" w:hAnsi="Times New Roman" w:cs="Times New Roman"/>
          <w:sz w:val="24"/>
          <w:szCs w:val="24"/>
        </w:rPr>
        <w:t>he custodian of records must permit inspection</w:t>
      </w:r>
      <w:r w:rsidR="00AA2BD0">
        <w:rPr>
          <w:rFonts w:ascii="Times New Roman" w:hAnsi="Times New Roman" w:cs="Times New Roman"/>
          <w:sz w:val="24"/>
          <w:szCs w:val="24"/>
        </w:rPr>
        <w:t xml:space="preserve"> or</w:t>
      </w:r>
      <w:r w:rsidRPr="007F04DE">
        <w:rPr>
          <w:rFonts w:ascii="Times New Roman" w:hAnsi="Times New Roman" w:cs="Times New Roman"/>
          <w:sz w:val="24"/>
          <w:szCs w:val="24"/>
        </w:rPr>
        <w:t xml:space="preserve"> </w:t>
      </w:r>
      <w:r w:rsidR="00AA2BD0" w:rsidRPr="00AA2BD0">
        <w:rPr>
          <w:rFonts w:ascii="Times New Roman" w:hAnsi="Times New Roman" w:cs="Times New Roman"/>
          <w:sz w:val="24"/>
          <w:szCs w:val="24"/>
        </w:rPr>
        <w:t>furnish copies upon payment of any fees as may be prescribed by law</w:t>
      </w:r>
      <w:r w:rsidR="00AA2BD0">
        <w:rPr>
          <w:rFonts w:ascii="Times New Roman" w:hAnsi="Times New Roman" w:cs="Times New Roman"/>
          <w:sz w:val="24"/>
          <w:szCs w:val="24"/>
        </w:rPr>
        <w:t xml:space="preserve">, </w:t>
      </w:r>
      <w:r w:rsidRPr="007F04DE">
        <w:rPr>
          <w:rFonts w:ascii="Times New Roman" w:hAnsi="Times New Roman" w:cs="Times New Roman"/>
          <w:sz w:val="24"/>
          <w:szCs w:val="24"/>
        </w:rPr>
        <w:t xml:space="preserve">of the requested records as promptly as possible after receiving the public records request. </w:t>
      </w:r>
      <w:r w:rsidR="007C6206">
        <w:rPr>
          <w:rFonts w:ascii="Times New Roman" w:hAnsi="Times New Roman" w:cs="Times New Roman"/>
          <w:sz w:val="24"/>
          <w:szCs w:val="24"/>
        </w:rPr>
        <w:t xml:space="preserve">The university will make efforts to fulfill request within thirty (30) days dependent upon </w:t>
      </w:r>
      <w:r w:rsidR="00D01ED2">
        <w:rPr>
          <w:rFonts w:ascii="Times New Roman" w:hAnsi="Times New Roman" w:cs="Times New Roman"/>
          <w:sz w:val="24"/>
          <w:szCs w:val="24"/>
        </w:rPr>
        <w:t xml:space="preserve">available </w:t>
      </w:r>
      <w:r w:rsidR="007C6206">
        <w:rPr>
          <w:rFonts w:ascii="Times New Roman" w:hAnsi="Times New Roman" w:cs="Times New Roman"/>
          <w:sz w:val="24"/>
          <w:szCs w:val="24"/>
        </w:rPr>
        <w:t xml:space="preserve">resources and the particulars of the request. </w:t>
      </w:r>
      <w:r w:rsidRPr="007F04DE">
        <w:rPr>
          <w:rFonts w:ascii="Times New Roman" w:hAnsi="Times New Roman" w:cs="Times New Roman"/>
          <w:sz w:val="24"/>
          <w:szCs w:val="24"/>
        </w:rPr>
        <w:t>Access to public records must be made at reasonable times and under reasonable supervision. The custodian must separate any confidential information from otherwise accessible public records.</w:t>
      </w:r>
    </w:p>
    <w:p w14:paraId="2E36E1EF" w14:textId="77777777" w:rsidR="007F04DE" w:rsidRPr="007F04DE" w:rsidRDefault="007F04DE" w:rsidP="007F04DE">
      <w:pPr>
        <w:rPr>
          <w:rFonts w:ascii="Times New Roman" w:hAnsi="Times New Roman" w:cs="Times New Roman"/>
          <w:sz w:val="24"/>
          <w:szCs w:val="24"/>
        </w:rPr>
      </w:pPr>
    </w:p>
    <w:p w14:paraId="0A866A97" w14:textId="0BB86960" w:rsidR="007F04DE" w:rsidRPr="00B63F98" w:rsidRDefault="00B63F98" w:rsidP="007F04DE">
      <w:pPr>
        <w:rPr>
          <w:rFonts w:ascii="Times New Roman" w:hAnsi="Times New Roman" w:cs="Times New Roman"/>
          <w:b/>
          <w:bCs/>
          <w:sz w:val="24"/>
          <w:szCs w:val="24"/>
        </w:rPr>
      </w:pPr>
      <w:r w:rsidRPr="00B63F98">
        <w:rPr>
          <w:rFonts w:ascii="Times New Roman" w:hAnsi="Times New Roman" w:cs="Times New Roman"/>
          <w:b/>
          <w:bCs/>
          <w:sz w:val="24"/>
          <w:szCs w:val="24"/>
        </w:rPr>
        <w:t>4. ACTUAL COSTS FOR COPIES, MATERIALS, POSTAGE IN EXCESS OF $50.00</w:t>
      </w:r>
    </w:p>
    <w:p w14:paraId="4A749516" w14:textId="1F1CD86E" w:rsidR="007F04DE"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 xml:space="preserve">4.1. Excess </w:t>
      </w:r>
      <w:r w:rsidR="00AA2BD0" w:rsidRPr="007F04DE">
        <w:rPr>
          <w:rFonts w:ascii="Times New Roman" w:hAnsi="Times New Roman" w:cs="Times New Roman"/>
          <w:sz w:val="24"/>
          <w:szCs w:val="24"/>
        </w:rPr>
        <w:t>Cost</w:t>
      </w:r>
      <w:r w:rsidRPr="007F04DE">
        <w:rPr>
          <w:rFonts w:ascii="Times New Roman" w:hAnsi="Times New Roman" w:cs="Times New Roman"/>
          <w:sz w:val="24"/>
          <w:szCs w:val="24"/>
        </w:rPr>
        <w:t>. If the requestor asks for copies, the university may charge the actual costs to the University of making the copies in the particular office where copies are made, actual costs of any materials used (such as DVDs), actual costs of putting a record into a medium other than the medium in which it is maintained by the university, and actual cost of mailing, if the total actual cost equals fifty dollars ($50.00) or more. This charge is separate and apart from the special service fee referenced in section 5 below.</w:t>
      </w:r>
    </w:p>
    <w:p w14:paraId="60A549C8" w14:textId="77777777" w:rsidR="00F077C5" w:rsidRDefault="00F077C5" w:rsidP="007F04DE">
      <w:pPr>
        <w:rPr>
          <w:rFonts w:ascii="Times New Roman" w:hAnsi="Times New Roman" w:cs="Times New Roman"/>
          <w:sz w:val="24"/>
          <w:szCs w:val="24"/>
        </w:rPr>
      </w:pPr>
    </w:p>
    <w:p w14:paraId="088525E2" w14:textId="732C5197" w:rsidR="007F04DE" w:rsidRPr="00B63F98" w:rsidRDefault="00B63F98" w:rsidP="007F04DE">
      <w:pPr>
        <w:rPr>
          <w:rFonts w:ascii="Times New Roman" w:hAnsi="Times New Roman" w:cs="Times New Roman"/>
          <w:b/>
          <w:bCs/>
          <w:sz w:val="24"/>
          <w:szCs w:val="24"/>
        </w:rPr>
      </w:pPr>
      <w:r w:rsidRPr="79D07F72">
        <w:rPr>
          <w:rFonts w:ascii="Times New Roman" w:hAnsi="Times New Roman" w:cs="Times New Roman"/>
          <w:b/>
          <w:bCs/>
          <w:sz w:val="24"/>
          <w:szCs w:val="24"/>
        </w:rPr>
        <w:t>5. ASSISTANCE AND SERVICE FEE FOR OVER 4 HOURS OF EMPLOYEE TIME</w:t>
      </w:r>
    </w:p>
    <w:p w14:paraId="7AAE4D9C" w14:textId="2D0C3201" w:rsidR="007F04DE" w:rsidRPr="007F04DE" w:rsidRDefault="007F04DE" w:rsidP="007F04DE">
      <w:pPr>
        <w:rPr>
          <w:rFonts w:ascii="Times New Roman" w:hAnsi="Times New Roman" w:cs="Times New Roman"/>
          <w:sz w:val="24"/>
          <w:szCs w:val="24"/>
        </w:rPr>
      </w:pPr>
      <w:r w:rsidRPr="79D07F72">
        <w:rPr>
          <w:rFonts w:ascii="Times New Roman" w:hAnsi="Times New Roman" w:cs="Times New Roman"/>
          <w:sz w:val="24"/>
          <w:szCs w:val="24"/>
        </w:rPr>
        <w:t xml:space="preserve">5.1. Special Service Fee. The University will not charge for the time of its employees if responding to a request requires fewer than a total of four (4) hours of employee time. The University, however, considers four (4) or more hours of information technology, clerical or supervisory employee time as constituting extensive assistance. If responding to the request will require extensive assistance, the University will charge a special service fee (based upon the hourly rate of pay of the employee(s) who will respond to the request, rounded to the next whole dollar). The "hourly rate of pay" of salaried employees is arrived at by applying the standard of </w:t>
      </w:r>
      <w:r w:rsidRPr="79D07F72">
        <w:rPr>
          <w:rFonts w:ascii="Times New Roman" w:hAnsi="Times New Roman" w:cs="Times New Roman"/>
          <w:sz w:val="24"/>
          <w:szCs w:val="24"/>
        </w:rPr>
        <w:lastRenderedPageBreak/>
        <w:t xml:space="preserve">2080 work hours in one work year, which is divided into the annual rate of pay for the employee. The special service fee shall be based on the actual hours of labor required to respond to the request above and beyond the first four (4) hours (which remain free). In no case will there be a charge for the time incurred by practicing attorneys of </w:t>
      </w:r>
      <w:r w:rsidR="00006A12">
        <w:rPr>
          <w:rFonts w:ascii="Times New Roman" w:hAnsi="Times New Roman" w:cs="Times New Roman"/>
          <w:sz w:val="24"/>
          <w:szCs w:val="24"/>
        </w:rPr>
        <w:t>OGC</w:t>
      </w:r>
      <w:r w:rsidRPr="79D07F72">
        <w:rPr>
          <w:rFonts w:ascii="Times New Roman" w:hAnsi="Times New Roman" w:cs="Times New Roman"/>
          <w:sz w:val="24"/>
          <w:szCs w:val="24"/>
        </w:rPr>
        <w:t>.</w:t>
      </w:r>
    </w:p>
    <w:p w14:paraId="65ED24E9" w14:textId="50E8C8AD" w:rsidR="00B65CED" w:rsidRPr="007F04DE" w:rsidRDefault="007F04DE" w:rsidP="007F04DE">
      <w:pPr>
        <w:rPr>
          <w:rFonts w:ascii="Times New Roman" w:hAnsi="Times New Roman" w:cs="Times New Roman"/>
          <w:sz w:val="24"/>
          <w:szCs w:val="24"/>
        </w:rPr>
      </w:pPr>
      <w:r w:rsidRPr="007F04DE">
        <w:rPr>
          <w:rFonts w:ascii="Times New Roman" w:hAnsi="Times New Roman" w:cs="Times New Roman"/>
          <w:sz w:val="24"/>
          <w:szCs w:val="24"/>
        </w:rPr>
        <w:t>5.2. Estimate of Special Service Fee. In order to avoid surprise to the requestor, where it reasonably appears that responding to a request will require four (4) or more hours of information technology, clerical or supervisory employee time, the custodian shall estimate the total cost prior to gathering the requested documents and/or information and provide the estimate to the requestor in writing. If the requestor objects to the estimate the parties may seek by mutual agreement to adjust the estimate, which may include adjustment of the scope of the request. If the requestor raises no objection to the estimate or agrees to an estimate after negotiation, and the University retrieves the requested documents and/or information, but the requestor thereafter refuses to pay the special service fee, then the University may withhold the documents and/or information until payment is received. Multiple requests within a relatively short period of time from the same individual or the same organization may be considered a single request for purposes of determining whether the four (4) hour threshold has been reached.</w:t>
      </w:r>
    </w:p>
    <w:sectPr w:rsidR="00B65CED" w:rsidRPr="007F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56C"/>
    <w:multiLevelType w:val="hybridMultilevel"/>
    <w:tmpl w:val="740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2F1C"/>
    <w:multiLevelType w:val="hybridMultilevel"/>
    <w:tmpl w:val="048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DE"/>
    <w:rsid w:val="00006A12"/>
    <w:rsid w:val="000269C4"/>
    <w:rsid w:val="001305D1"/>
    <w:rsid w:val="002C50D1"/>
    <w:rsid w:val="002F2C0C"/>
    <w:rsid w:val="00342C51"/>
    <w:rsid w:val="00344630"/>
    <w:rsid w:val="00423933"/>
    <w:rsid w:val="00427C65"/>
    <w:rsid w:val="00461C97"/>
    <w:rsid w:val="00462957"/>
    <w:rsid w:val="004701BB"/>
    <w:rsid w:val="004A5426"/>
    <w:rsid w:val="00501EF6"/>
    <w:rsid w:val="00545EB8"/>
    <w:rsid w:val="00600B82"/>
    <w:rsid w:val="007265EE"/>
    <w:rsid w:val="00752097"/>
    <w:rsid w:val="00776C41"/>
    <w:rsid w:val="00786142"/>
    <w:rsid w:val="007A4073"/>
    <w:rsid w:val="007C539E"/>
    <w:rsid w:val="007C6206"/>
    <w:rsid w:val="007F04DE"/>
    <w:rsid w:val="00895FC4"/>
    <w:rsid w:val="00983664"/>
    <w:rsid w:val="00A30B51"/>
    <w:rsid w:val="00AA2BD0"/>
    <w:rsid w:val="00B63F98"/>
    <w:rsid w:val="00B65CED"/>
    <w:rsid w:val="00BC72FC"/>
    <w:rsid w:val="00C420D2"/>
    <w:rsid w:val="00CD7622"/>
    <w:rsid w:val="00D01ED2"/>
    <w:rsid w:val="00DE3AFE"/>
    <w:rsid w:val="00DF1F4A"/>
    <w:rsid w:val="00ED1370"/>
    <w:rsid w:val="00F077C5"/>
    <w:rsid w:val="00F366E4"/>
    <w:rsid w:val="00F57FFC"/>
    <w:rsid w:val="00FE0123"/>
    <w:rsid w:val="01304A25"/>
    <w:rsid w:val="03BD04CB"/>
    <w:rsid w:val="0466DC90"/>
    <w:rsid w:val="0563BAFE"/>
    <w:rsid w:val="0602ACF1"/>
    <w:rsid w:val="068D96EE"/>
    <w:rsid w:val="0A019031"/>
    <w:rsid w:val="0A1DC756"/>
    <w:rsid w:val="0A41C665"/>
    <w:rsid w:val="0C0FDF3F"/>
    <w:rsid w:val="0C82F1EC"/>
    <w:rsid w:val="0EC614DC"/>
    <w:rsid w:val="0F399054"/>
    <w:rsid w:val="0F6DFB6B"/>
    <w:rsid w:val="0FE4EC6F"/>
    <w:rsid w:val="10821F4F"/>
    <w:rsid w:val="116969D8"/>
    <w:rsid w:val="14328016"/>
    <w:rsid w:val="16295B80"/>
    <w:rsid w:val="168B1139"/>
    <w:rsid w:val="16E8B5B3"/>
    <w:rsid w:val="173E24B7"/>
    <w:rsid w:val="17EFFE54"/>
    <w:rsid w:val="18FE4D4F"/>
    <w:rsid w:val="19F499BD"/>
    <w:rsid w:val="1A429F2E"/>
    <w:rsid w:val="1D218EC3"/>
    <w:rsid w:val="1E567250"/>
    <w:rsid w:val="1F39DA6E"/>
    <w:rsid w:val="1F64E3B3"/>
    <w:rsid w:val="2002FDBF"/>
    <w:rsid w:val="21995A53"/>
    <w:rsid w:val="24A155E0"/>
    <w:rsid w:val="26435490"/>
    <w:rsid w:val="269312B6"/>
    <w:rsid w:val="280E0FA4"/>
    <w:rsid w:val="2B6683D9"/>
    <w:rsid w:val="2C6881B3"/>
    <w:rsid w:val="2CBD6CA6"/>
    <w:rsid w:val="2E045214"/>
    <w:rsid w:val="2F1C8E86"/>
    <w:rsid w:val="2F9C2360"/>
    <w:rsid w:val="30F3BC1F"/>
    <w:rsid w:val="3122B1DF"/>
    <w:rsid w:val="312FACB6"/>
    <w:rsid w:val="313BF2D6"/>
    <w:rsid w:val="31D5C55D"/>
    <w:rsid w:val="3229D7E0"/>
    <w:rsid w:val="337195BE"/>
    <w:rsid w:val="34739398"/>
    <w:rsid w:val="350A4D95"/>
    <w:rsid w:val="36A93680"/>
    <w:rsid w:val="36BD4D1A"/>
    <w:rsid w:val="38AA486F"/>
    <w:rsid w:val="3C574239"/>
    <w:rsid w:val="3DF5D0C2"/>
    <w:rsid w:val="3E934221"/>
    <w:rsid w:val="3EB44865"/>
    <w:rsid w:val="3FE6A182"/>
    <w:rsid w:val="405018C6"/>
    <w:rsid w:val="40556B62"/>
    <w:rsid w:val="40F0B78C"/>
    <w:rsid w:val="41F3D6AD"/>
    <w:rsid w:val="428C87ED"/>
    <w:rsid w:val="42DE09DA"/>
    <w:rsid w:val="4387B988"/>
    <w:rsid w:val="43DD493E"/>
    <w:rsid w:val="452389E9"/>
    <w:rsid w:val="454B1101"/>
    <w:rsid w:val="45F3B1D7"/>
    <w:rsid w:val="463603E4"/>
    <w:rsid w:val="4767C496"/>
    <w:rsid w:val="47C945AA"/>
    <w:rsid w:val="47E49F0F"/>
    <w:rsid w:val="48307C5A"/>
    <w:rsid w:val="4880EC56"/>
    <w:rsid w:val="48E9BEEE"/>
    <w:rsid w:val="4B5A37DA"/>
    <w:rsid w:val="4C58EC45"/>
    <w:rsid w:val="4D368954"/>
    <w:rsid w:val="4DCF3A94"/>
    <w:rsid w:val="52DCA787"/>
    <w:rsid w:val="52FA2602"/>
    <w:rsid w:val="54B9FE23"/>
    <w:rsid w:val="561C35CF"/>
    <w:rsid w:val="57B80630"/>
    <w:rsid w:val="58F7D7BC"/>
    <w:rsid w:val="5A9C6265"/>
    <w:rsid w:val="5B97B460"/>
    <w:rsid w:val="5C86D601"/>
    <w:rsid w:val="5D3384C1"/>
    <w:rsid w:val="5D8D752D"/>
    <w:rsid w:val="5E09C8E4"/>
    <w:rsid w:val="5E7A524C"/>
    <w:rsid w:val="5F45E962"/>
    <w:rsid w:val="60BFFE81"/>
    <w:rsid w:val="60D21649"/>
    <w:rsid w:val="615A3D44"/>
    <w:rsid w:val="62FAB8D7"/>
    <w:rsid w:val="647C3C1F"/>
    <w:rsid w:val="66072AA9"/>
    <w:rsid w:val="69CF3BE9"/>
    <w:rsid w:val="6AB2A68F"/>
    <w:rsid w:val="6B4CB14B"/>
    <w:rsid w:val="6BA66982"/>
    <w:rsid w:val="6C4537A1"/>
    <w:rsid w:val="6D194268"/>
    <w:rsid w:val="6D4894D9"/>
    <w:rsid w:val="6E72CE71"/>
    <w:rsid w:val="6EC06E03"/>
    <w:rsid w:val="6FD93BDF"/>
    <w:rsid w:val="71673377"/>
    <w:rsid w:val="7303AB82"/>
    <w:rsid w:val="73A417D0"/>
    <w:rsid w:val="74C50B16"/>
    <w:rsid w:val="7583B030"/>
    <w:rsid w:val="79D07F72"/>
    <w:rsid w:val="7A7CCF1A"/>
    <w:rsid w:val="7B6C83ED"/>
    <w:rsid w:val="7C61BDE4"/>
    <w:rsid w:val="7C6C8840"/>
    <w:rsid w:val="7CA68410"/>
    <w:rsid w:val="7CDE6375"/>
    <w:rsid w:val="7D17B7B7"/>
    <w:rsid w:val="7D585DAD"/>
    <w:rsid w:val="7E7D659C"/>
    <w:rsid w:val="7EDB0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B863"/>
  <w15:chartTrackingRefBased/>
  <w15:docId w15:val="{5851F256-1218-405E-9AA8-A9592D9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C5"/>
    <w:pPr>
      <w:ind w:left="720"/>
      <w:contextualSpacing/>
    </w:pPr>
  </w:style>
  <w:style w:type="character" w:styleId="Hyperlink">
    <w:name w:val="Hyperlink"/>
    <w:basedOn w:val="DefaultParagraphFont"/>
    <w:uiPriority w:val="99"/>
    <w:unhideWhenUsed/>
    <w:rsid w:val="00F57FFC"/>
    <w:rPr>
      <w:color w:val="0563C1" w:themeColor="hyperlink"/>
      <w:u w:val="single"/>
    </w:rPr>
  </w:style>
  <w:style w:type="character" w:styleId="UnresolvedMention">
    <w:name w:val="Unresolved Mention"/>
    <w:basedOn w:val="DefaultParagraphFont"/>
    <w:uiPriority w:val="99"/>
    <w:semiHidden/>
    <w:unhideWhenUsed/>
    <w:rsid w:val="00F57FFC"/>
    <w:rPr>
      <w:color w:val="605E5C"/>
      <w:shd w:val="clear" w:color="auto" w:fill="E1DFDD"/>
    </w:rPr>
  </w:style>
  <w:style w:type="paragraph" w:styleId="Revision">
    <w:name w:val="Revision"/>
    <w:hidden/>
    <w:uiPriority w:val="99"/>
    <w:semiHidden/>
    <w:rsid w:val="00F366E4"/>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1370"/>
    <w:rPr>
      <w:b/>
      <w:bCs/>
    </w:rPr>
  </w:style>
  <w:style w:type="character" w:customStyle="1" w:styleId="CommentSubjectChar">
    <w:name w:val="Comment Subject Char"/>
    <w:basedOn w:val="CommentTextChar"/>
    <w:link w:val="CommentSubject"/>
    <w:uiPriority w:val="99"/>
    <w:semiHidden/>
    <w:rsid w:val="00ED1370"/>
    <w:rPr>
      <w:b/>
      <w:bCs/>
      <w:sz w:val="20"/>
      <w:szCs w:val="20"/>
    </w:rPr>
  </w:style>
  <w:style w:type="character" w:styleId="FollowedHyperlink">
    <w:name w:val="FollowedHyperlink"/>
    <w:basedOn w:val="DefaultParagraphFont"/>
    <w:uiPriority w:val="99"/>
    <w:semiHidden/>
    <w:unhideWhenUsed/>
    <w:rsid w:val="002C5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1082">
      <w:bodyDiv w:val="1"/>
      <w:marLeft w:val="0"/>
      <w:marRight w:val="0"/>
      <w:marTop w:val="0"/>
      <w:marBottom w:val="0"/>
      <w:divBdr>
        <w:top w:val="none" w:sz="0" w:space="0" w:color="auto"/>
        <w:left w:val="none" w:sz="0" w:space="0" w:color="auto"/>
        <w:bottom w:val="none" w:sz="0" w:space="0" w:color="auto"/>
        <w:right w:val="none" w:sz="0" w:space="0" w:color="auto"/>
      </w:divBdr>
    </w:div>
    <w:div w:id="1279918866">
      <w:bodyDiv w:val="1"/>
      <w:marLeft w:val="0"/>
      <w:marRight w:val="0"/>
      <w:marTop w:val="0"/>
      <w:marBottom w:val="0"/>
      <w:divBdr>
        <w:top w:val="none" w:sz="0" w:space="0" w:color="auto"/>
        <w:left w:val="none" w:sz="0" w:space="0" w:color="auto"/>
        <w:bottom w:val="none" w:sz="0" w:space="0" w:color="auto"/>
        <w:right w:val="none" w:sz="0" w:space="0" w:color="auto"/>
      </w:divBdr>
      <w:divsChild>
        <w:div w:id="591279057">
          <w:marLeft w:val="-75"/>
          <w:marRight w:val="-75"/>
          <w:marTop w:val="0"/>
          <w:marBottom w:val="150"/>
          <w:divBdr>
            <w:top w:val="none" w:sz="0" w:space="0" w:color="auto"/>
            <w:left w:val="none" w:sz="0" w:space="0" w:color="auto"/>
            <w:bottom w:val="double" w:sz="6" w:space="5" w:color="FFE286"/>
            <w:right w:val="none" w:sz="0" w:space="0" w:color="auto"/>
          </w:divBdr>
          <w:divsChild>
            <w:div w:id="933516835">
              <w:marLeft w:val="0"/>
              <w:marRight w:val="0"/>
              <w:marTop w:val="0"/>
              <w:marBottom w:val="0"/>
              <w:divBdr>
                <w:top w:val="none" w:sz="0" w:space="0" w:color="auto"/>
                <w:left w:val="none" w:sz="0" w:space="0" w:color="auto"/>
                <w:bottom w:val="none" w:sz="0" w:space="0" w:color="auto"/>
                <w:right w:val="none" w:sz="0" w:space="0" w:color="auto"/>
              </w:divBdr>
            </w:div>
          </w:divsChild>
        </w:div>
        <w:div w:id="1666780187">
          <w:marLeft w:val="0"/>
          <w:marRight w:val="0"/>
          <w:marTop w:val="0"/>
          <w:marBottom w:val="0"/>
          <w:divBdr>
            <w:top w:val="none" w:sz="0" w:space="0" w:color="auto"/>
            <w:left w:val="none" w:sz="0" w:space="0" w:color="auto"/>
            <w:bottom w:val="none" w:sz="0" w:space="0" w:color="auto"/>
            <w:right w:val="none" w:sz="0" w:space="0" w:color="auto"/>
          </w:divBdr>
          <w:divsChild>
            <w:div w:id="403651211">
              <w:marLeft w:val="0"/>
              <w:marRight w:val="0"/>
              <w:marTop w:val="0"/>
              <w:marBottom w:val="0"/>
              <w:divBdr>
                <w:top w:val="none" w:sz="0" w:space="0" w:color="auto"/>
                <w:left w:val="none" w:sz="0" w:space="0" w:color="auto"/>
                <w:bottom w:val="none" w:sz="0" w:space="0" w:color="auto"/>
                <w:right w:val="none" w:sz="0" w:space="0" w:color="auto"/>
              </w:divBdr>
            </w:div>
            <w:div w:id="128548755">
              <w:marLeft w:val="361"/>
              <w:marRight w:val="0"/>
              <w:marTop w:val="0"/>
              <w:marBottom w:val="0"/>
              <w:divBdr>
                <w:top w:val="none" w:sz="0" w:space="0" w:color="auto"/>
                <w:left w:val="none" w:sz="0" w:space="0" w:color="auto"/>
                <w:bottom w:val="none" w:sz="0" w:space="0" w:color="auto"/>
                <w:right w:val="none" w:sz="0" w:space="0" w:color="auto"/>
              </w:divBdr>
            </w:div>
          </w:divsChild>
        </w:div>
        <w:div w:id="1459110125">
          <w:marLeft w:val="0"/>
          <w:marRight w:val="0"/>
          <w:marTop w:val="0"/>
          <w:marBottom w:val="300"/>
          <w:divBdr>
            <w:top w:val="single" w:sz="6" w:space="14" w:color="E3E3E3"/>
            <w:left w:val="single" w:sz="6" w:space="14" w:color="E3E3E3"/>
            <w:bottom w:val="single" w:sz="6" w:space="14" w:color="E3E3E3"/>
            <w:right w:val="single" w:sz="6" w:space="14" w:color="E3E3E3"/>
          </w:divBdr>
        </w:div>
        <w:div w:id="1320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html/bychapter/chapter_12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doj.gov/public-protection/open-government/" TargetMode="External"/><Relationship Id="rId12" Type="http://schemas.openxmlformats.org/officeDocument/2006/relationships/hyperlink" Target="https://www.ncleg.net/EnactedLegislation/Statutes/PDF/BySection/Chapter_132/GS_13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pr/pol-026501-federal-family-educational-rights-and-privacy-act-ferpa-policy" TargetMode="External"/><Relationship Id="rId11" Type="http://schemas.openxmlformats.org/officeDocument/2006/relationships/hyperlink" Target="https://www.hhs.gov/hipaa/for-professionals/privacy/laws-regulations/index.html" TargetMode="External"/><Relationship Id="rId5" Type="http://schemas.openxmlformats.org/officeDocument/2006/relationships/hyperlink" Target="https://www.northcarolina.edu/apps/policy/doc.php?id=57" TargetMode="External"/><Relationship Id="rId10" Type="http://schemas.openxmlformats.org/officeDocument/2006/relationships/hyperlink" Target="https://www.ncleg.net/EnactedLegislation/Statutes/HTML/ByArticle/Chapter_143/Article_33C.html" TargetMode="External"/><Relationship Id="rId4" Type="http://schemas.openxmlformats.org/officeDocument/2006/relationships/webSettings" Target="webSettings.xml"/><Relationship Id="rId9" Type="http://schemas.openxmlformats.org/officeDocument/2006/relationships/hyperlink" Target="https://www.ncleg.net/enactedlegislation/statutes/html/bychapter/chapter_13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Byrd, Michael Gordon</cp:lastModifiedBy>
  <cp:revision>3</cp:revision>
  <dcterms:created xsi:type="dcterms:W3CDTF">2024-06-07T12:45:00Z</dcterms:created>
  <dcterms:modified xsi:type="dcterms:W3CDTF">2024-06-14T12:56:00Z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2024-02-07T14:37:09Z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36160b0a-21b3-4b00-8b0b-768a76bf37d3</vt:lpwstr>
  </property>
  <property fmtid="{D5CDD505-2E9C-101B-9397-08002B2CF9AE}" pid="8" name="MSIP_Label_d02437dd-2777-4767-9eac-36c9d699896f_ContentBits">
    <vt:lpwstr>0</vt:lpwstr>
  </property>
</Properties>
</file>